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FADB2" w14:textId="6278B104" w:rsidR="0097428C" w:rsidRDefault="0097428C" w:rsidP="00EB06E2">
      <w:pPr>
        <w:spacing w:line="360" w:lineRule="auto"/>
        <w:jc w:val="center"/>
        <w:outlineLvl w:val="0"/>
        <w:rPr>
          <w:rFonts w:ascii="Arial" w:eastAsia="Calibri" w:hAnsi="Arial" w:cs="Arial"/>
          <w:b/>
        </w:rPr>
      </w:pPr>
      <w:r w:rsidRPr="00D65A20">
        <w:rPr>
          <w:rFonts w:ascii="Arial" w:eastAsia="Calibri" w:hAnsi="Arial" w:cs="Arial"/>
          <w:b/>
        </w:rPr>
        <w:t>CARÁTULA</w:t>
      </w:r>
    </w:p>
    <w:p w14:paraId="4B2BC802" w14:textId="77777777" w:rsidR="00EB06E2" w:rsidRPr="00D65A20" w:rsidRDefault="00EB06E2" w:rsidP="00EB06E2">
      <w:pPr>
        <w:spacing w:line="360" w:lineRule="auto"/>
        <w:jc w:val="center"/>
        <w:outlineLvl w:val="0"/>
        <w:rPr>
          <w:rFonts w:ascii="Arial" w:eastAsia="Calibri" w:hAnsi="Arial" w:cs="Arial"/>
          <w:b/>
        </w:rPr>
      </w:pPr>
    </w:p>
    <w:tbl>
      <w:tblPr>
        <w:tblW w:w="89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3210"/>
        <w:gridCol w:w="688"/>
        <w:gridCol w:w="3890"/>
      </w:tblGrid>
      <w:tr w:rsidR="0097428C" w:rsidRPr="00D65A20" w14:paraId="78A3CD74" w14:textId="77777777" w:rsidTr="00632FD5">
        <w:tc>
          <w:tcPr>
            <w:tcW w:w="1174" w:type="dxa"/>
          </w:tcPr>
          <w:p w14:paraId="29E78904" w14:textId="77777777" w:rsidR="0097428C" w:rsidRPr="00D65A20" w:rsidRDefault="0097428C" w:rsidP="00632FD5">
            <w:pPr>
              <w:jc w:val="both"/>
              <w:rPr>
                <w:rFonts w:ascii="Arial Narrow" w:hAnsi="Arial Narrow" w:cs="Arial"/>
                <w:sz w:val="20"/>
                <w:szCs w:val="20"/>
              </w:rPr>
            </w:pPr>
            <w:r w:rsidRPr="00D65A20">
              <w:rPr>
                <w:rFonts w:ascii="Arial Narrow" w:hAnsi="Arial Narrow" w:cs="Arial"/>
                <w:sz w:val="20"/>
                <w:szCs w:val="20"/>
              </w:rPr>
              <w:t>Expediente</w:t>
            </w:r>
          </w:p>
        </w:tc>
        <w:tc>
          <w:tcPr>
            <w:tcW w:w="7788" w:type="dxa"/>
            <w:gridSpan w:val="3"/>
          </w:tcPr>
          <w:p w14:paraId="328021F7" w14:textId="0FC575C6" w:rsidR="0097428C" w:rsidRPr="00D65A20" w:rsidRDefault="0097428C" w:rsidP="00632FD5">
            <w:pPr>
              <w:jc w:val="both"/>
              <w:rPr>
                <w:rFonts w:ascii="Arial Narrow" w:hAnsi="Arial Narrow" w:cs="Arial"/>
                <w:sz w:val="20"/>
                <w:szCs w:val="20"/>
              </w:rPr>
            </w:pPr>
            <w:r w:rsidRPr="00D65A20">
              <w:rPr>
                <w:rFonts w:ascii="Arial Narrow" w:hAnsi="Arial Narrow" w:cs="Arial"/>
                <w:bCs/>
                <w:sz w:val="20"/>
                <w:szCs w:val="20"/>
              </w:rPr>
              <w:t>INFOCDMX/RR.IP.</w:t>
            </w:r>
            <w:r>
              <w:rPr>
                <w:rFonts w:ascii="Arial Narrow" w:hAnsi="Arial Narrow" w:cs="Arial"/>
                <w:bCs/>
                <w:sz w:val="20"/>
                <w:szCs w:val="20"/>
              </w:rPr>
              <w:t>2</w:t>
            </w:r>
            <w:r w:rsidR="00637D9C">
              <w:rPr>
                <w:rFonts w:ascii="Arial Narrow" w:hAnsi="Arial Narrow" w:cs="Arial"/>
                <w:bCs/>
                <w:sz w:val="20"/>
                <w:szCs w:val="20"/>
              </w:rPr>
              <w:t>168</w:t>
            </w:r>
            <w:r w:rsidRPr="00D65A20">
              <w:rPr>
                <w:rFonts w:ascii="Arial Narrow" w:hAnsi="Arial Narrow" w:cs="Arial"/>
                <w:bCs/>
                <w:sz w:val="20"/>
                <w:szCs w:val="20"/>
              </w:rPr>
              <w:t>/202</w:t>
            </w:r>
            <w:r>
              <w:rPr>
                <w:rFonts w:ascii="Arial Narrow" w:hAnsi="Arial Narrow" w:cs="Arial"/>
                <w:bCs/>
                <w:sz w:val="20"/>
                <w:szCs w:val="20"/>
              </w:rPr>
              <w:t>1</w:t>
            </w:r>
          </w:p>
        </w:tc>
      </w:tr>
      <w:tr w:rsidR="0097428C" w:rsidRPr="00D65A20" w14:paraId="5EB85CB6" w14:textId="77777777" w:rsidTr="00632FD5">
        <w:tc>
          <w:tcPr>
            <w:tcW w:w="1174" w:type="dxa"/>
          </w:tcPr>
          <w:p w14:paraId="3F0DDB58" w14:textId="77777777" w:rsidR="0097428C" w:rsidRPr="00D65A20" w:rsidRDefault="0097428C" w:rsidP="00632FD5">
            <w:pPr>
              <w:jc w:val="both"/>
              <w:rPr>
                <w:rFonts w:ascii="Arial Narrow" w:hAnsi="Arial Narrow" w:cs="Arial"/>
                <w:sz w:val="20"/>
                <w:szCs w:val="20"/>
              </w:rPr>
            </w:pPr>
            <w:r w:rsidRPr="00D65A20">
              <w:rPr>
                <w:rFonts w:ascii="Arial Narrow" w:hAnsi="Arial Narrow" w:cs="Arial"/>
                <w:sz w:val="20"/>
                <w:szCs w:val="20"/>
              </w:rPr>
              <w:t>Comisionada Ponente: MCNP</w:t>
            </w:r>
          </w:p>
        </w:tc>
        <w:tc>
          <w:tcPr>
            <w:tcW w:w="3898" w:type="dxa"/>
            <w:gridSpan w:val="2"/>
          </w:tcPr>
          <w:p w14:paraId="11A490B8" w14:textId="77777777" w:rsidR="0097428C" w:rsidRDefault="0097428C" w:rsidP="00632FD5">
            <w:pPr>
              <w:jc w:val="both"/>
              <w:rPr>
                <w:rFonts w:ascii="Arial Narrow" w:hAnsi="Arial Narrow" w:cs="Arial"/>
                <w:sz w:val="20"/>
                <w:szCs w:val="20"/>
              </w:rPr>
            </w:pPr>
            <w:r w:rsidRPr="00D65A20">
              <w:rPr>
                <w:rFonts w:ascii="Arial Narrow" w:hAnsi="Arial Narrow" w:cs="Arial"/>
                <w:sz w:val="20"/>
                <w:szCs w:val="20"/>
              </w:rPr>
              <w:t>Pleno:</w:t>
            </w:r>
            <w:r>
              <w:rPr>
                <w:rFonts w:ascii="Arial Narrow" w:hAnsi="Arial Narrow" w:cs="Arial"/>
                <w:sz w:val="20"/>
                <w:szCs w:val="20"/>
              </w:rPr>
              <w:t xml:space="preserve"> </w:t>
            </w:r>
          </w:p>
          <w:p w14:paraId="71509CD6" w14:textId="217249BD" w:rsidR="0097428C" w:rsidRPr="00D65A20" w:rsidRDefault="0097428C" w:rsidP="00632FD5">
            <w:pPr>
              <w:jc w:val="both"/>
              <w:rPr>
                <w:rFonts w:ascii="Arial Narrow" w:hAnsi="Arial Narrow" w:cs="Arial"/>
                <w:sz w:val="20"/>
                <w:szCs w:val="20"/>
              </w:rPr>
            </w:pPr>
            <w:r>
              <w:rPr>
                <w:rFonts w:ascii="Arial Narrow" w:hAnsi="Arial Narrow" w:cs="Arial"/>
                <w:sz w:val="20"/>
                <w:szCs w:val="20"/>
              </w:rPr>
              <w:t>1</w:t>
            </w:r>
            <w:r w:rsidR="00637D9C">
              <w:rPr>
                <w:rFonts w:ascii="Arial Narrow" w:hAnsi="Arial Narrow" w:cs="Arial"/>
                <w:sz w:val="20"/>
                <w:szCs w:val="20"/>
              </w:rPr>
              <w:t>2</w:t>
            </w:r>
            <w:r>
              <w:rPr>
                <w:rFonts w:ascii="Arial Narrow" w:hAnsi="Arial Narrow" w:cs="Arial"/>
                <w:sz w:val="20"/>
                <w:szCs w:val="20"/>
              </w:rPr>
              <w:t xml:space="preserve"> de </w:t>
            </w:r>
            <w:r w:rsidR="00637D9C">
              <w:rPr>
                <w:rFonts w:ascii="Arial Narrow" w:hAnsi="Arial Narrow" w:cs="Arial"/>
                <w:sz w:val="20"/>
                <w:szCs w:val="20"/>
              </w:rPr>
              <w:t>enero</w:t>
            </w:r>
            <w:r w:rsidRPr="00D65A20">
              <w:rPr>
                <w:rFonts w:ascii="Arial Narrow" w:hAnsi="Arial Narrow" w:cs="Arial"/>
                <w:sz w:val="20"/>
                <w:szCs w:val="20"/>
              </w:rPr>
              <w:t xml:space="preserve"> de 202</w:t>
            </w:r>
            <w:r w:rsidR="00637D9C">
              <w:rPr>
                <w:rFonts w:ascii="Arial Narrow" w:hAnsi="Arial Narrow" w:cs="Arial"/>
                <w:sz w:val="20"/>
                <w:szCs w:val="20"/>
              </w:rPr>
              <w:t>2</w:t>
            </w:r>
          </w:p>
        </w:tc>
        <w:tc>
          <w:tcPr>
            <w:tcW w:w="3890" w:type="dxa"/>
          </w:tcPr>
          <w:p w14:paraId="3C9DAE36" w14:textId="77777777" w:rsidR="0097428C" w:rsidRPr="00E41739" w:rsidRDefault="0097428C" w:rsidP="00632FD5">
            <w:pPr>
              <w:jc w:val="both"/>
              <w:rPr>
                <w:rFonts w:ascii="Arial Narrow" w:hAnsi="Arial Narrow" w:cs="Arial"/>
                <w:sz w:val="20"/>
                <w:szCs w:val="20"/>
              </w:rPr>
            </w:pPr>
            <w:r w:rsidRPr="00E41739">
              <w:rPr>
                <w:rFonts w:ascii="Arial Narrow" w:hAnsi="Arial Narrow" w:cs="Arial"/>
                <w:sz w:val="20"/>
                <w:szCs w:val="20"/>
              </w:rPr>
              <w:t xml:space="preserve">Sentido: </w:t>
            </w:r>
          </w:p>
          <w:p w14:paraId="083119D3" w14:textId="77777777" w:rsidR="0097428C" w:rsidRPr="00E41739" w:rsidRDefault="0097428C" w:rsidP="00632FD5">
            <w:pPr>
              <w:jc w:val="both"/>
              <w:rPr>
                <w:rFonts w:ascii="Arial Narrow" w:hAnsi="Arial Narrow" w:cs="Arial"/>
                <w:sz w:val="20"/>
                <w:szCs w:val="20"/>
              </w:rPr>
            </w:pPr>
            <w:r w:rsidRPr="00E41739">
              <w:rPr>
                <w:rFonts w:ascii="Arial Narrow" w:hAnsi="Arial Narrow" w:cs="Arial"/>
                <w:b/>
                <w:bCs/>
                <w:sz w:val="20"/>
                <w:szCs w:val="20"/>
              </w:rPr>
              <w:t>REVOCAR</w:t>
            </w:r>
            <w:r w:rsidRPr="00E41739">
              <w:rPr>
                <w:rFonts w:ascii="Arial Narrow" w:hAnsi="Arial Narrow" w:cs="Arial"/>
                <w:sz w:val="20"/>
                <w:szCs w:val="20"/>
              </w:rPr>
              <w:t xml:space="preserve"> la respuesta</w:t>
            </w:r>
          </w:p>
        </w:tc>
      </w:tr>
      <w:tr w:rsidR="0097428C" w:rsidRPr="00D65A20" w14:paraId="021C7B10" w14:textId="77777777" w:rsidTr="00632FD5">
        <w:tc>
          <w:tcPr>
            <w:tcW w:w="5072" w:type="dxa"/>
            <w:gridSpan w:val="3"/>
          </w:tcPr>
          <w:p w14:paraId="61C9A0A2" w14:textId="7FD29A6D" w:rsidR="0097428C" w:rsidRPr="00D65A20" w:rsidRDefault="0097428C" w:rsidP="00632FD5">
            <w:pPr>
              <w:ind w:left="1305" w:hanging="1305"/>
              <w:jc w:val="both"/>
              <w:rPr>
                <w:rFonts w:ascii="Arial Narrow" w:hAnsi="Arial Narrow" w:cs="Arial"/>
                <w:sz w:val="20"/>
                <w:szCs w:val="20"/>
              </w:rPr>
            </w:pPr>
            <w:r w:rsidRPr="00D65A20">
              <w:rPr>
                <w:rFonts w:ascii="Arial Narrow" w:hAnsi="Arial Narrow" w:cs="Arial"/>
                <w:sz w:val="20"/>
                <w:szCs w:val="20"/>
              </w:rPr>
              <w:t xml:space="preserve">Sujeto obligado: </w:t>
            </w:r>
            <w:r w:rsidR="00637D9C">
              <w:rPr>
                <w:rFonts w:ascii="Arial Narrow" w:hAnsi="Arial Narrow" w:cs="Arial"/>
                <w:sz w:val="20"/>
                <w:szCs w:val="20"/>
              </w:rPr>
              <w:t>Secretaría de Obras y Servicios</w:t>
            </w:r>
          </w:p>
        </w:tc>
        <w:tc>
          <w:tcPr>
            <w:tcW w:w="3890" w:type="dxa"/>
          </w:tcPr>
          <w:p w14:paraId="0F2463FC" w14:textId="4BF5BDE1" w:rsidR="0097428C" w:rsidRPr="00D65A20" w:rsidRDefault="0097428C" w:rsidP="00632FD5">
            <w:pPr>
              <w:ind w:left="1305" w:hanging="1305"/>
              <w:jc w:val="both"/>
              <w:rPr>
                <w:rFonts w:ascii="Arial Narrow" w:hAnsi="Arial Narrow" w:cs="Arial"/>
                <w:sz w:val="20"/>
                <w:szCs w:val="20"/>
              </w:rPr>
            </w:pPr>
            <w:r w:rsidRPr="00D65A20">
              <w:rPr>
                <w:rFonts w:ascii="Arial Narrow" w:hAnsi="Arial Narrow" w:cs="Arial"/>
                <w:sz w:val="20"/>
                <w:szCs w:val="20"/>
              </w:rPr>
              <w:t>Folio de solicitud:</w:t>
            </w:r>
            <w:r>
              <w:rPr>
                <w:rFonts w:ascii="Arial Narrow" w:hAnsi="Arial Narrow" w:cs="Arial"/>
                <w:sz w:val="20"/>
                <w:szCs w:val="20"/>
              </w:rPr>
              <w:t xml:space="preserve"> </w:t>
            </w:r>
            <w:r w:rsidR="00637D9C" w:rsidRPr="00637D9C">
              <w:rPr>
                <w:rFonts w:ascii="Arial Narrow" w:hAnsi="Arial Narrow" w:cs="Arial"/>
                <w:sz w:val="20"/>
                <w:szCs w:val="20"/>
              </w:rPr>
              <w:t>0107000176320</w:t>
            </w:r>
          </w:p>
        </w:tc>
      </w:tr>
      <w:tr w:rsidR="0097428C" w:rsidRPr="00A40531" w14:paraId="4B80AC00" w14:textId="77777777" w:rsidTr="00632FD5">
        <w:tc>
          <w:tcPr>
            <w:tcW w:w="1174" w:type="dxa"/>
          </w:tcPr>
          <w:p w14:paraId="19A9D75A" w14:textId="77777777" w:rsidR="0097428C" w:rsidRPr="00A40531" w:rsidRDefault="0097428C" w:rsidP="00632FD5">
            <w:pPr>
              <w:jc w:val="both"/>
              <w:rPr>
                <w:rFonts w:ascii="Arial Narrow" w:hAnsi="Arial Narrow" w:cs="Arial"/>
                <w:sz w:val="20"/>
                <w:szCs w:val="20"/>
              </w:rPr>
            </w:pPr>
            <w:r w:rsidRPr="00A40531">
              <w:rPr>
                <w:rFonts w:ascii="Arial Narrow" w:hAnsi="Arial Narrow" w:cs="Arial"/>
                <w:sz w:val="20"/>
                <w:szCs w:val="20"/>
              </w:rPr>
              <w:t>¿Qué solicitó la persona entonces solicitante?</w:t>
            </w:r>
          </w:p>
        </w:tc>
        <w:tc>
          <w:tcPr>
            <w:tcW w:w="7788" w:type="dxa"/>
            <w:gridSpan w:val="3"/>
          </w:tcPr>
          <w:p w14:paraId="7E5EE98F" w14:textId="336CFC9C" w:rsidR="00CD03A9" w:rsidRDefault="00836684" w:rsidP="005B1756">
            <w:pPr>
              <w:pStyle w:val="NormalWeb"/>
              <w:shd w:val="clear" w:color="auto" w:fill="FFFFFF"/>
              <w:ind w:right="67"/>
              <w:jc w:val="both"/>
              <w:outlineLvl w:val="0"/>
              <w:rPr>
                <w:rFonts w:ascii="Arial Narrow" w:hAnsi="Arial Narrow" w:cs="Arial"/>
                <w:sz w:val="20"/>
                <w:szCs w:val="20"/>
              </w:rPr>
            </w:pPr>
            <w:r w:rsidRPr="00A40531">
              <w:rPr>
                <w:rFonts w:ascii="Arial Narrow" w:hAnsi="Arial Narrow" w:cs="Arial"/>
                <w:sz w:val="20"/>
                <w:szCs w:val="20"/>
              </w:rPr>
              <w:t>1.- C</w:t>
            </w:r>
            <w:r w:rsidRPr="00636838">
              <w:rPr>
                <w:rFonts w:ascii="Arial Narrow" w:hAnsi="Arial Narrow" w:cs="Arial"/>
                <w:sz w:val="20"/>
                <w:szCs w:val="20"/>
              </w:rPr>
              <w:t>opia del Manual de Funcionamiento de la Comisión de Admisión de Directores Responsables de Obra y Corresponsables</w:t>
            </w:r>
            <w:r w:rsidRPr="00A40531">
              <w:rPr>
                <w:rFonts w:ascii="Arial Narrow" w:hAnsi="Arial Narrow" w:cs="Arial"/>
                <w:sz w:val="20"/>
                <w:szCs w:val="20"/>
              </w:rPr>
              <w:t xml:space="preserve">; </w:t>
            </w:r>
            <w:r w:rsidR="00CD03A9">
              <w:rPr>
                <w:rFonts w:ascii="Arial Narrow" w:hAnsi="Arial Narrow" w:cs="Arial"/>
                <w:sz w:val="20"/>
                <w:szCs w:val="20"/>
              </w:rPr>
              <w:t>e</w:t>
            </w:r>
          </w:p>
          <w:p w14:paraId="23B75691" w14:textId="2AA7B1DB" w:rsidR="0097428C" w:rsidRPr="00A40531" w:rsidRDefault="00836684" w:rsidP="005B1756">
            <w:pPr>
              <w:pStyle w:val="NormalWeb"/>
              <w:shd w:val="clear" w:color="auto" w:fill="FFFFFF"/>
              <w:ind w:right="67"/>
              <w:jc w:val="both"/>
              <w:outlineLvl w:val="0"/>
              <w:rPr>
                <w:rFonts w:ascii="Arial Narrow" w:hAnsi="Arial Narrow" w:cs="Arial"/>
                <w:sz w:val="20"/>
                <w:szCs w:val="20"/>
              </w:rPr>
            </w:pPr>
            <w:r w:rsidRPr="00A40531">
              <w:rPr>
                <w:rFonts w:ascii="Arial Narrow" w:hAnsi="Arial Narrow" w:cs="Arial"/>
                <w:sz w:val="20"/>
                <w:szCs w:val="20"/>
              </w:rPr>
              <w:t>2.- I</w:t>
            </w:r>
            <w:r w:rsidRPr="00636838">
              <w:rPr>
                <w:rFonts w:ascii="Arial Narrow" w:hAnsi="Arial Narrow" w:cs="Arial"/>
                <w:sz w:val="20"/>
                <w:szCs w:val="20"/>
              </w:rPr>
              <w:t>nformación sobre el vínculo a página web oficial en la cual dicho Manual está publicado</w:t>
            </w:r>
            <w:r w:rsidRPr="00A40531">
              <w:rPr>
                <w:rFonts w:ascii="Arial Narrow" w:hAnsi="Arial Narrow" w:cs="Arial"/>
                <w:sz w:val="20"/>
                <w:szCs w:val="20"/>
              </w:rPr>
              <w:t>.</w:t>
            </w:r>
          </w:p>
        </w:tc>
      </w:tr>
      <w:tr w:rsidR="0097428C" w:rsidRPr="00A40531" w14:paraId="3CC2DCF3" w14:textId="77777777" w:rsidTr="00632FD5">
        <w:tc>
          <w:tcPr>
            <w:tcW w:w="1174" w:type="dxa"/>
          </w:tcPr>
          <w:p w14:paraId="2253661A" w14:textId="77777777" w:rsidR="0097428C" w:rsidRPr="00A40531" w:rsidRDefault="0097428C" w:rsidP="00632FD5">
            <w:pPr>
              <w:jc w:val="both"/>
              <w:rPr>
                <w:rFonts w:ascii="Arial Narrow" w:hAnsi="Arial Narrow" w:cs="Arial"/>
                <w:sz w:val="20"/>
                <w:szCs w:val="20"/>
              </w:rPr>
            </w:pPr>
            <w:r w:rsidRPr="00A40531">
              <w:rPr>
                <w:rFonts w:ascii="Arial Narrow" w:hAnsi="Arial Narrow" w:cs="Arial"/>
                <w:sz w:val="20"/>
                <w:szCs w:val="20"/>
              </w:rPr>
              <w:t>¿Qué respondió el sujeto obligado?</w:t>
            </w:r>
          </w:p>
        </w:tc>
        <w:tc>
          <w:tcPr>
            <w:tcW w:w="7788" w:type="dxa"/>
            <w:gridSpan w:val="3"/>
          </w:tcPr>
          <w:p w14:paraId="07BB6FF6" w14:textId="7141C256" w:rsidR="0097428C" w:rsidRPr="00A40531" w:rsidRDefault="00836684" w:rsidP="005B1756">
            <w:pPr>
              <w:pStyle w:val="NormalWeb"/>
              <w:shd w:val="clear" w:color="auto" w:fill="FFFFFF"/>
              <w:ind w:right="67"/>
              <w:jc w:val="both"/>
              <w:outlineLvl w:val="0"/>
              <w:rPr>
                <w:rFonts w:ascii="Arial Narrow" w:hAnsi="Arial Narrow" w:cs="Arial"/>
                <w:sz w:val="20"/>
                <w:szCs w:val="20"/>
              </w:rPr>
            </w:pPr>
            <w:r w:rsidRPr="00A40531">
              <w:rPr>
                <w:rFonts w:ascii="Arial Narrow" w:hAnsi="Arial Narrow" w:cs="Arial"/>
                <w:sz w:val="20"/>
                <w:szCs w:val="20"/>
              </w:rPr>
              <w:t xml:space="preserve">Consecuentemente, el sujeto obligado dio respuesta por medio del oficio </w:t>
            </w:r>
            <w:r w:rsidRPr="0097428C">
              <w:rPr>
                <w:rFonts w:ascii="Arial Narrow" w:hAnsi="Arial Narrow" w:cs="Arial"/>
                <w:sz w:val="20"/>
                <w:szCs w:val="20"/>
              </w:rPr>
              <w:t>CDMX/SOBSE/SUT/3601/2021</w:t>
            </w:r>
            <w:r w:rsidRPr="00A40531">
              <w:rPr>
                <w:rFonts w:ascii="Arial Narrow" w:hAnsi="Arial Narrow" w:cs="Arial"/>
                <w:sz w:val="20"/>
                <w:szCs w:val="20"/>
              </w:rPr>
              <w:t xml:space="preserve"> de fecha 19 de octubre de 2021, emitido por la Subdirectora de su Unidad de Transparencia; contestando que, resultaba incompetente para proporcionar lo solicitado, y únicamente orientando a ingresar la solicitud de información ante las unidades de transparencia del Instituto para la Seguridad de las Construcciones en la Ciudad de México y de la Secretaría de Desarrollo Urbano y Vivienda de esta Ciudad capital (proporcionando los datos de contacto de las mismas); lo anterior, en los términos que fueron precisados en el antecedente II de la presente resolución y a cuyo contenido se remite para su pronta referencia en aras de evitar inútiles repeticiones.</w:t>
            </w:r>
          </w:p>
        </w:tc>
      </w:tr>
      <w:tr w:rsidR="0097428C" w:rsidRPr="00D65A20" w14:paraId="03979C2B" w14:textId="77777777" w:rsidTr="00632FD5">
        <w:tc>
          <w:tcPr>
            <w:tcW w:w="1174" w:type="dxa"/>
          </w:tcPr>
          <w:p w14:paraId="1AA3330B" w14:textId="77777777" w:rsidR="0097428C" w:rsidRPr="00A40531" w:rsidRDefault="0097428C" w:rsidP="00632FD5">
            <w:pPr>
              <w:jc w:val="both"/>
              <w:rPr>
                <w:rFonts w:ascii="Arial Narrow" w:hAnsi="Arial Narrow" w:cs="Arial"/>
                <w:sz w:val="20"/>
                <w:szCs w:val="20"/>
              </w:rPr>
            </w:pPr>
            <w:r w:rsidRPr="00A40531">
              <w:rPr>
                <w:rFonts w:ascii="Arial Narrow" w:hAnsi="Arial Narrow" w:cs="Arial"/>
                <w:sz w:val="20"/>
                <w:szCs w:val="20"/>
              </w:rPr>
              <w:t>¿En qué consistió el agravio de la persona ahora recurrente?</w:t>
            </w:r>
          </w:p>
        </w:tc>
        <w:tc>
          <w:tcPr>
            <w:tcW w:w="7788" w:type="dxa"/>
            <w:gridSpan w:val="3"/>
          </w:tcPr>
          <w:p w14:paraId="41BE9695" w14:textId="2E311B2D" w:rsidR="00A40531" w:rsidRPr="00A40531" w:rsidRDefault="00A40531" w:rsidP="005B1756">
            <w:pPr>
              <w:pStyle w:val="NormalWeb"/>
              <w:shd w:val="clear" w:color="auto" w:fill="FFFFFF"/>
              <w:ind w:right="67"/>
              <w:jc w:val="both"/>
              <w:outlineLvl w:val="0"/>
              <w:rPr>
                <w:rFonts w:ascii="Arial Narrow" w:hAnsi="Arial Narrow" w:cs="Arial"/>
                <w:sz w:val="20"/>
                <w:szCs w:val="20"/>
              </w:rPr>
            </w:pPr>
            <w:r w:rsidRPr="00A40531">
              <w:rPr>
                <w:rFonts w:ascii="Arial Narrow" w:hAnsi="Arial Narrow" w:cs="Arial"/>
                <w:sz w:val="20"/>
                <w:szCs w:val="20"/>
              </w:rPr>
              <w:t>Inconforme con la respuesta del sujeto obligado, la persona recurrente interpuso el presente recurso de revisión, de donde se desprenden 3 agravios: El Primer y Tercer agravio concernientes a la extemporaneidad de la emisión de la respuesta (falta de respuesta); y el Segundo agravio en contra de la incompetencia invocada por el sujeto obligado.</w:t>
            </w:r>
          </w:p>
          <w:p w14:paraId="01E9DB88" w14:textId="644016EB" w:rsidR="0097428C" w:rsidRPr="00A40531" w:rsidRDefault="00A40531" w:rsidP="005B1756">
            <w:pPr>
              <w:pStyle w:val="NormalWeb"/>
              <w:shd w:val="clear" w:color="auto" w:fill="FFFFFF"/>
              <w:ind w:right="67"/>
              <w:jc w:val="both"/>
              <w:outlineLvl w:val="0"/>
              <w:rPr>
                <w:rFonts w:ascii="Arial Narrow" w:hAnsi="Arial Narrow" w:cs="Arial"/>
                <w:sz w:val="20"/>
                <w:szCs w:val="20"/>
              </w:rPr>
            </w:pPr>
            <w:r w:rsidRPr="00A40531">
              <w:rPr>
                <w:rFonts w:ascii="Arial Narrow" w:hAnsi="Arial Narrow" w:cs="Arial"/>
                <w:sz w:val="20"/>
                <w:szCs w:val="20"/>
              </w:rPr>
              <w:t>Consecuentemente, el Primer y Tercer agravio no serán materia de estudio en el presente recurso de revisión, ya que con independencia de la extemporaneidad en la emisión de la respuesta, al existir agravio de fondo respecto de aquélla por la incompetencia invocada por el sujeto obligado (fracción III del artículo 234 de la Ley de Transparencia), se debe entrar al estudio de fondo. Cobrando aplicación el CRITERIO 01/21 emitido por el Pleno de este órgano garante.</w:t>
            </w:r>
          </w:p>
        </w:tc>
      </w:tr>
      <w:tr w:rsidR="0097428C" w:rsidRPr="00D65A20" w14:paraId="7C3A8EB0" w14:textId="77777777" w:rsidTr="00632FD5">
        <w:tc>
          <w:tcPr>
            <w:tcW w:w="1174" w:type="dxa"/>
          </w:tcPr>
          <w:p w14:paraId="6A4ED418" w14:textId="77777777" w:rsidR="0097428C" w:rsidRPr="00D65A20" w:rsidRDefault="0097428C" w:rsidP="00632FD5">
            <w:pPr>
              <w:jc w:val="both"/>
              <w:rPr>
                <w:rFonts w:ascii="Arial Narrow" w:hAnsi="Arial Narrow" w:cs="Arial"/>
                <w:sz w:val="20"/>
                <w:szCs w:val="20"/>
                <w:highlight w:val="yellow"/>
              </w:rPr>
            </w:pPr>
            <w:r w:rsidRPr="00D65A20">
              <w:rPr>
                <w:rFonts w:ascii="Arial Narrow" w:hAnsi="Arial Narrow" w:cs="Arial"/>
                <w:sz w:val="20"/>
                <w:szCs w:val="20"/>
              </w:rPr>
              <w:t>¿Qué se determina en esta resolución?</w:t>
            </w:r>
          </w:p>
        </w:tc>
        <w:tc>
          <w:tcPr>
            <w:tcW w:w="7788" w:type="dxa"/>
            <w:gridSpan w:val="3"/>
          </w:tcPr>
          <w:p w14:paraId="0F66CEB4" w14:textId="77777777" w:rsidR="0097428C" w:rsidRDefault="0097428C" w:rsidP="00CA721F">
            <w:pPr>
              <w:pStyle w:val="NormalWeb"/>
              <w:shd w:val="clear" w:color="auto" w:fill="FFFFFF"/>
              <w:ind w:right="-93"/>
              <w:jc w:val="both"/>
              <w:outlineLvl w:val="0"/>
              <w:rPr>
                <w:rFonts w:ascii="Arial Narrow" w:hAnsi="Arial Narrow" w:cs="Arial"/>
                <w:sz w:val="20"/>
                <w:szCs w:val="20"/>
              </w:rPr>
            </w:pPr>
            <w:r w:rsidRPr="00E41739">
              <w:rPr>
                <w:rFonts w:ascii="Arial Narrow" w:hAnsi="Arial Narrow" w:cs="Arial"/>
                <w:sz w:val="20"/>
                <w:szCs w:val="20"/>
              </w:rPr>
              <w:t xml:space="preserve">Este Instituto determina procedente, con fundamento en el artículo 244, fracción V, </w:t>
            </w:r>
            <w:r w:rsidRPr="00BA6D6F">
              <w:rPr>
                <w:rFonts w:ascii="Arial Narrow" w:hAnsi="Arial Narrow" w:cs="Arial"/>
                <w:b/>
                <w:bCs/>
                <w:sz w:val="20"/>
                <w:szCs w:val="20"/>
              </w:rPr>
              <w:t>revocar la respuesta</w:t>
            </w:r>
            <w:r w:rsidRPr="00E41739">
              <w:rPr>
                <w:rFonts w:ascii="Arial Narrow" w:hAnsi="Arial Narrow" w:cs="Arial"/>
                <w:sz w:val="20"/>
                <w:szCs w:val="20"/>
              </w:rPr>
              <w:t xml:space="preserve"> del sujeto obligado e instruir</w:t>
            </w:r>
            <w:r>
              <w:rPr>
                <w:rFonts w:ascii="Arial Narrow" w:hAnsi="Arial Narrow" w:cs="Arial"/>
                <w:sz w:val="20"/>
                <w:szCs w:val="20"/>
              </w:rPr>
              <w:t xml:space="preserve"> </w:t>
            </w:r>
            <w:r w:rsidRPr="000E1E0B">
              <w:rPr>
                <w:rFonts w:ascii="Arial Narrow" w:hAnsi="Arial Narrow" w:cs="Arial"/>
                <w:sz w:val="20"/>
                <w:szCs w:val="20"/>
              </w:rPr>
              <w:t>a efecto de que</w:t>
            </w:r>
            <w:r>
              <w:rPr>
                <w:rFonts w:ascii="Arial Narrow" w:hAnsi="Arial Narrow" w:cs="Arial"/>
                <w:sz w:val="20"/>
                <w:szCs w:val="20"/>
              </w:rPr>
              <w:t>:</w:t>
            </w:r>
          </w:p>
          <w:p w14:paraId="76148BB4" w14:textId="77777777" w:rsidR="00CA721F" w:rsidRPr="00CA721F" w:rsidRDefault="00CA721F" w:rsidP="00CA721F">
            <w:pPr>
              <w:pStyle w:val="Prrafodelista"/>
              <w:numPr>
                <w:ilvl w:val="0"/>
                <w:numId w:val="5"/>
              </w:numPr>
              <w:tabs>
                <w:tab w:val="left" w:pos="1134"/>
              </w:tabs>
              <w:autoSpaceDE w:val="0"/>
              <w:autoSpaceDN w:val="0"/>
              <w:adjustRightInd w:val="0"/>
              <w:jc w:val="both"/>
              <w:rPr>
                <w:rFonts w:ascii="Arial Narrow" w:eastAsia="Calibri" w:hAnsi="Arial Narrow" w:cs="Arial"/>
                <w:b/>
                <w:bCs/>
                <w:sz w:val="20"/>
                <w:szCs w:val="20"/>
              </w:rPr>
            </w:pPr>
            <w:r w:rsidRPr="00CA721F">
              <w:rPr>
                <w:rFonts w:ascii="Arial Narrow" w:eastAsia="Calibri" w:hAnsi="Arial Narrow" w:cs="Arial"/>
                <w:b/>
                <w:bCs/>
                <w:sz w:val="20"/>
                <w:szCs w:val="20"/>
              </w:rPr>
              <w:t xml:space="preserve">Haga entrega en formato electrónico del </w:t>
            </w:r>
            <w:r w:rsidRPr="00CA721F">
              <w:rPr>
                <w:rFonts w:ascii="Arial Narrow" w:eastAsia="Calibri" w:hAnsi="Arial Narrow" w:cs="Arial"/>
                <w:b/>
                <w:bCs/>
                <w:i/>
                <w:iCs/>
                <w:sz w:val="20"/>
                <w:szCs w:val="20"/>
              </w:rPr>
              <w:t>“Manual de Funcionamiento de la Comisión de Admisión de Directores Responsables de Obra y Corresponsales”</w:t>
            </w:r>
            <w:r w:rsidRPr="00CA721F">
              <w:rPr>
                <w:rFonts w:ascii="Arial Narrow" w:eastAsia="Calibri" w:hAnsi="Arial Narrow" w:cs="Arial"/>
                <w:b/>
                <w:bCs/>
                <w:sz w:val="20"/>
                <w:szCs w:val="20"/>
              </w:rPr>
              <w:t xml:space="preserve"> al que hace referencia el Reglamento de Construcciones para el Distrito Federal.</w:t>
            </w:r>
          </w:p>
          <w:p w14:paraId="0D408110" w14:textId="77777777" w:rsidR="00CA721F" w:rsidRPr="00CA721F" w:rsidRDefault="00CA721F" w:rsidP="00CA721F">
            <w:pPr>
              <w:pStyle w:val="Prrafodelista"/>
              <w:tabs>
                <w:tab w:val="left" w:pos="1134"/>
              </w:tabs>
              <w:autoSpaceDE w:val="0"/>
              <w:autoSpaceDN w:val="0"/>
              <w:adjustRightInd w:val="0"/>
              <w:jc w:val="both"/>
              <w:rPr>
                <w:rFonts w:ascii="Arial Narrow" w:eastAsia="Calibri" w:hAnsi="Arial Narrow" w:cs="Arial"/>
                <w:b/>
                <w:bCs/>
                <w:sz w:val="20"/>
                <w:szCs w:val="20"/>
              </w:rPr>
            </w:pPr>
          </w:p>
          <w:p w14:paraId="7EA40246" w14:textId="77777777" w:rsidR="00CA721F" w:rsidRPr="00CA721F" w:rsidRDefault="00CA721F" w:rsidP="00CA721F">
            <w:pPr>
              <w:pStyle w:val="Prrafodelista"/>
              <w:numPr>
                <w:ilvl w:val="0"/>
                <w:numId w:val="5"/>
              </w:numPr>
              <w:tabs>
                <w:tab w:val="left" w:pos="1134"/>
              </w:tabs>
              <w:autoSpaceDE w:val="0"/>
              <w:autoSpaceDN w:val="0"/>
              <w:adjustRightInd w:val="0"/>
              <w:jc w:val="both"/>
              <w:rPr>
                <w:rFonts w:ascii="Arial Narrow" w:eastAsia="Calibri" w:hAnsi="Arial Narrow" w:cs="Arial"/>
                <w:b/>
                <w:bCs/>
                <w:sz w:val="20"/>
                <w:szCs w:val="20"/>
              </w:rPr>
            </w:pPr>
            <w:r w:rsidRPr="00CA721F">
              <w:rPr>
                <w:rFonts w:ascii="Arial Narrow" w:eastAsia="Calibri" w:hAnsi="Arial Narrow" w:cs="Arial"/>
                <w:b/>
                <w:bCs/>
                <w:sz w:val="20"/>
                <w:szCs w:val="20"/>
              </w:rPr>
              <w:t>Proporcione el vínculo a la página web oficial en la cual dicho Manual esta publicado.</w:t>
            </w:r>
          </w:p>
          <w:p w14:paraId="74F831DC" w14:textId="77777777" w:rsidR="00CA721F" w:rsidRPr="00CA721F" w:rsidRDefault="00CA721F" w:rsidP="00CA721F">
            <w:pPr>
              <w:pStyle w:val="Prrafodelista"/>
              <w:rPr>
                <w:rFonts w:ascii="Arial Narrow" w:eastAsia="Calibri" w:hAnsi="Arial Narrow" w:cs="Arial"/>
                <w:b/>
                <w:bCs/>
                <w:sz w:val="20"/>
                <w:szCs w:val="20"/>
              </w:rPr>
            </w:pPr>
          </w:p>
          <w:p w14:paraId="709DBDA1" w14:textId="77777777" w:rsidR="00CA721F" w:rsidRPr="00CA721F" w:rsidRDefault="00CA721F" w:rsidP="00CA721F">
            <w:pPr>
              <w:pStyle w:val="Prrafodelista"/>
              <w:numPr>
                <w:ilvl w:val="0"/>
                <w:numId w:val="5"/>
              </w:numPr>
              <w:tabs>
                <w:tab w:val="left" w:pos="1134"/>
              </w:tabs>
              <w:autoSpaceDE w:val="0"/>
              <w:autoSpaceDN w:val="0"/>
              <w:adjustRightInd w:val="0"/>
              <w:jc w:val="both"/>
              <w:rPr>
                <w:rFonts w:ascii="Arial Narrow" w:eastAsia="Calibri" w:hAnsi="Arial Narrow" w:cs="Arial"/>
                <w:b/>
                <w:bCs/>
                <w:sz w:val="20"/>
                <w:szCs w:val="20"/>
              </w:rPr>
            </w:pPr>
            <w:r w:rsidRPr="00CA721F">
              <w:rPr>
                <w:rFonts w:ascii="Arial Narrow" w:eastAsia="Calibri" w:hAnsi="Arial Narrow" w:cs="Arial"/>
                <w:b/>
                <w:bCs/>
                <w:sz w:val="20"/>
                <w:szCs w:val="20"/>
              </w:rPr>
              <w:t>En caso de no contar con lo solicitado, el sujeto obligado deberá realizar la “Declaración Formal de Inexistencia de la Información”, previo sometimiento a su Comité de Transparencia y de conformidad con el procedimiento contenido en el artículo 217 y 218 de la Ley de Transparencia.</w:t>
            </w:r>
          </w:p>
          <w:p w14:paraId="6E80BB4D" w14:textId="77777777" w:rsidR="00CA721F" w:rsidRPr="00CA721F" w:rsidRDefault="00CA721F" w:rsidP="00CA721F">
            <w:pPr>
              <w:pStyle w:val="4GChar"/>
              <w:tabs>
                <w:tab w:val="left" w:pos="1134"/>
              </w:tabs>
              <w:autoSpaceDE w:val="0"/>
              <w:autoSpaceDN w:val="0"/>
              <w:adjustRightInd w:val="0"/>
              <w:rPr>
                <w:rFonts w:ascii="Arial Narrow" w:hAnsi="Arial Narrow" w:cs="Arial"/>
                <w:b/>
                <w:bCs/>
                <w:sz w:val="20"/>
                <w:szCs w:val="20"/>
                <w:highlight w:val="green"/>
              </w:rPr>
            </w:pPr>
          </w:p>
          <w:p w14:paraId="67BDED04" w14:textId="51F7A9C1" w:rsidR="00CA721F" w:rsidRPr="00CA721F" w:rsidRDefault="00CA721F" w:rsidP="00CA721F">
            <w:pPr>
              <w:pStyle w:val="Prrafodelista"/>
              <w:numPr>
                <w:ilvl w:val="0"/>
                <w:numId w:val="3"/>
              </w:numPr>
              <w:jc w:val="both"/>
              <w:rPr>
                <w:rFonts w:ascii="Arial" w:eastAsia="Times New Roman" w:hAnsi="Arial" w:cs="Arial"/>
                <w:b/>
                <w:bCs/>
              </w:rPr>
            </w:pPr>
            <w:r w:rsidRPr="00CA721F">
              <w:rPr>
                <w:rFonts w:ascii="Arial Narrow" w:hAnsi="Arial Narrow" w:cs="Arial"/>
                <w:b/>
                <w:bCs/>
                <w:sz w:val="20"/>
                <w:szCs w:val="20"/>
              </w:rPr>
              <w:lastRenderedPageBreak/>
              <w:t>Todo lo anterior, debiéndose notificar a la persona recurrente, a través del medio de notificación que este haya señalado para oír y recibir notificaciones en el presente medio de impugnación.</w:t>
            </w:r>
          </w:p>
        </w:tc>
      </w:tr>
      <w:tr w:rsidR="0097428C" w:rsidRPr="00D65A20" w14:paraId="104D575F" w14:textId="77777777" w:rsidTr="00632FD5">
        <w:tc>
          <w:tcPr>
            <w:tcW w:w="4384" w:type="dxa"/>
            <w:gridSpan w:val="2"/>
          </w:tcPr>
          <w:p w14:paraId="6D80E6C7" w14:textId="77777777" w:rsidR="0097428C" w:rsidRPr="00927ECF" w:rsidRDefault="0097428C" w:rsidP="00632FD5">
            <w:pPr>
              <w:jc w:val="both"/>
              <w:rPr>
                <w:rFonts w:ascii="Arial Narrow" w:hAnsi="Arial Narrow" w:cs="Arial"/>
                <w:sz w:val="20"/>
                <w:szCs w:val="20"/>
              </w:rPr>
            </w:pPr>
            <w:r w:rsidRPr="00927ECF">
              <w:rPr>
                <w:rFonts w:ascii="Arial Narrow" w:hAnsi="Arial Narrow" w:cs="Arial"/>
                <w:sz w:val="20"/>
                <w:szCs w:val="20"/>
              </w:rPr>
              <w:lastRenderedPageBreak/>
              <w:t>¿Qué plazo tendrá el sujeto obligado para dar cumplimiento?</w:t>
            </w:r>
          </w:p>
        </w:tc>
        <w:tc>
          <w:tcPr>
            <w:tcW w:w="4578" w:type="dxa"/>
            <w:gridSpan w:val="2"/>
          </w:tcPr>
          <w:p w14:paraId="05224F6A" w14:textId="396E5EDA" w:rsidR="0097428C" w:rsidRPr="00C2771F" w:rsidRDefault="00CA721F" w:rsidP="00632FD5">
            <w:pPr>
              <w:jc w:val="both"/>
              <w:rPr>
                <w:rFonts w:ascii="Arial Narrow" w:hAnsi="Arial Narrow" w:cs="Arial"/>
                <w:sz w:val="20"/>
                <w:szCs w:val="20"/>
              </w:rPr>
            </w:pPr>
            <w:r>
              <w:rPr>
                <w:rFonts w:ascii="Arial Narrow" w:hAnsi="Arial Narrow" w:cs="Arial"/>
                <w:sz w:val="20"/>
                <w:szCs w:val="20"/>
              </w:rPr>
              <w:t>10</w:t>
            </w:r>
            <w:r w:rsidR="0097428C" w:rsidRPr="00C2771F">
              <w:rPr>
                <w:rFonts w:ascii="Arial Narrow" w:hAnsi="Arial Narrow" w:cs="Arial"/>
                <w:sz w:val="20"/>
                <w:szCs w:val="20"/>
              </w:rPr>
              <w:t xml:space="preserve"> días hábiles</w:t>
            </w:r>
          </w:p>
        </w:tc>
      </w:tr>
    </w:tbl>
    <w:p w14:paraId="3F35DAAB" w14:textId="77777777" w:rsidR="00836684" w:rsidRDefault="00836684" w:rsidP="00920C57">
      <w:pPr>
        <w:spacing w:line="276" w:lineRule="auto"/>
        <w:jc w:val="right"/>
        <w:rPr>
          <w:rFonts w:ascii="Arial" w:hAnsi="Arial" w:cs="Arial"/>
        </w:rPr>
      </w:pPr>
    </w:p>
    <w:p w14:paraId="756F817F" w14:textId="77777777" w:rsidR="00EB06E2" w:rsidRDefault="00EB06E2" w:rsidP="00920C57">
      <w:pPr>
        <w:spacing w:line="276" w:lineRule="auto"/>
        <w:jc w:val="right"/>
        <w:rPr>
          <w:rFonts w:ascii="Arial" w:hAnsi="Arial" w:cs="Arial"/>
        </w:rPr>
      </w:pPr>
    </w:p>
    <w:p w14:paraId="463851BE" w14:textId="69A4E198" w:rsidR="0097428C" w:rsidRPr="00D65A20" w:rsidRDefault="0097428C" w:rsidP="00920C57">
      <w:pPr>
        <w:spacing w:line="276" w:lineRule="auto"/>
        <w:jc w:val="right"/>
        <w:rPr>
          <w:rFonts w:ascii="Arial" w:eastAsia="Calibri" w:hAnsi="Arial" w:cs="Arial"/>
        </w:rPr>
      </w:pPr>
      <w:r w:rsidRPr="00D65A20">
        <w:rPr>
          <w:rFonts w:ascii="Arial" w:hAnsi="Arial" w:cs="Arial"/>
        </w:rPr>
        <w:t xml:space="preserve">Ciudad de México, a </w:t>
      </w:r>
      <w:r>
        <w:rPr>
          <w:rFonts w:ascii="Arial" w:hAnsi="Arial" w:cs="Arial"/>
          <w:b/>
          <w:bCs/>
        </w:rPr>
        <w:t>1</w:t>
      </w:r>
      <w:r w:rsidR="00920C57">
        <w:rPr>
          <w:rFonts w:ascii="Arial" w:hAnsi="Arial" w:cs="Arial"/>
          <w:b/>
          <w:bCs/>
        </w:rPr>
        <w:t>2</w:t>
      </w:r>
      <w:r w:rsidRPr="00D65A20">
        <w:rPr>
          <w:rFonts w:ascii="Arial" w:hAnsi="Arial" w:cs="Arial"/>
          <w:b/>
          <w:bCs/>
        </w:rPr>
        <w:t xml:space="preserve"> de </w:t>
      </w:r>
      <w:r w:rsidR="00920C57">
        <w:rPr>
          <w:rFonts w:ascii="Arial" w:hAnsi="Arial" w:cs="Arial"/>
          <w:b/>
          <w:bCs/>
        </w:rPr>
        <w:t>enero</w:t>
      </w:r>
      <w:r>
        <w:rPr>
          <w:rFonts w:ascii="Arial" w:hAnsi="Arial" w:cs="Arial"/>
          <w:b/>
          <w:bCs/>
        </w:rPr>
        <w:t xml:space="preserve"> </w:t>
      </w:r>
      <w:r w:rsidRPr="00D65A20">
        <w:rPr>
          <w:rFonts w:ascii="Arial" w:hAnsi="Arial" w:cs="Arial"/>
          <w:b/>
          <w:bCs/>
        </w:rPr>
        <w:t>de 202</w:t>
      </w:r>
      <w:r w:rsidR="00920C57">
        <w:rPr>
          <w:rFonts w:ascii="Arial" w:hAnsi="Arial" w:cs="Arial"/>
          <w:b/>
          <w:bCs/>
        </w:rPr>
        <w:t>2</w:t>
      </w:r>
      <w:r w:rsidRPr="00D65A20">
        <w:rPr>
          <w:rFonts w:ascii="Arial" w:hAnsi="Arial" w:cs="Arial"/>
          <w:b/>
          <w:bCs/>
        </w:rPr>
        <w:t>.</w:t>
      </w:r>
    </w:p>
    <w:p w14:paraId="79A4AF74" w14:textId="77777777" w:rsidR="0097428C" w:rsidRPr="00D65A20" w:rsidRDefault="0097428C" w:rsidP="0097428C">
      <w:pPr>
        <w:spacing w:line="276" w:lineRule="auto"/>
        <w:rPr>
          <w:rFonts w:ascii="Arial" w:hAnsi="Arial" w:cs="Arial"/>
        </w:rPr>
      </w:pPr>
    </w:p>
    <w:p w14:paraId="3DEBE648" w14:textId="64259E5E" w:rsidR="0097428C" w:rsidRDefault="0097428C" w:rsidP="0097428C">
      <w:pPr>
        <w:spacing w:line="360" w:lineRule="auto"/>
        <w:jc w:val="both"/>
        <w:rPr>
          <w:rFonts w:ascii="Arial" w:hAnsi="Arial" w:cs="Arial"/>
          <w:lang w:val="es-ES"/>
        </w:rPr>
      </w:pPr>
      <w:r w:rsidRPr="00D65A20">
        <w:rPr>
          <w:rFonts w:ascii="Arial" w:hAnsi="Arial" w:cs="Arial"/>
          <w:b/>
        </w:rPr>
        <w:tab/>
        <w:t>VIST</w:t>
      </w:r>
      <w:r w:rsidRPr="00D65A20">
        <w:rPr>
          <w:rFonts w:ascii="Arial" w:hAnsi="Arial" w:cs="Arial"/>
          <w:b/>
          <w:lang w:val="es-ES"/>
        </w:rPr>
        <w:t>AS</w:t>
      </w:r>
      <w:r w:rsidRPr="00D65A20">
        <w:rPr>
          <w:rFonts w:ascii="Arial" w:hAnsi="Arial" w:cs="Arial"/>
          <w:b/>
        </w:rPr>
        <w:t xml:space="preserve"> </w:t>
      </w:r>
      <w:r w:rsidRPr="00D65A20">
        <w:rPr>
          <w:rFonts w:ascii="Arial" w:hAnsi="Arial" w:cs="Arial"/>
        </w:rPr>
        <w:t>l</w:t>
      </w:r>
      <w:r w:rsidRPr="00D65A20">
        <w:rPr>
          <w:rFonts w:ascii="Arial" w:hAnsi="Arial" w:cs="Arial"/>
          <w:lang w:val="es-ES"/>
        </w:rPr>
        <w:t>as</w:t>
      </w:r>
      <w:r w:rsidRPr="00D65A20">
        <w:rPr>
          <w:rFonts w:ascii="Arial" w:hAnsi="Arial" w:cs="Arial"/>
        </w:rPr>
        <w:t xml:space="preserve"> </w:t>
      </w:r>
      <w:r w:rsidRPr="00D65A20">
        <w:rPr>
          <w:rFonts w:ascii="Arial" w:hAnsi="Arial" w:cs="Arial"/>
          <w:lang w:val="es-ES"/>
        </w:rPr>
        <w:t xml:space="preserve">constancias para resolver </w:t>
      </w:r>
      <w:r w:rsidRPr="00D65A20">
        <w:rPr>
          <w:rFonts w:ascii="Arial" w:hAnsi="Arial" w:cs="Arial"/>
        </w:rPr>
        <w:t xml:space="preserve">el expediente </w:t>
      </w:r>
      <w:r w:rsidRPr="00D65A20">
        <w:rPr>
          <w:rFonts w:ascii="Arial" w:hAnsi="Arial" w:cs="Arial"/>
          <w:b/>
          <w:bCs/>
        </w:rPr>
        <w:t>INFOCDMX/RR.IP.</w:t>
      </w:r>
      <w:r>
        <w:rPr>
          <w:rFonts w:ascii="Arial" w:hAnsi="Arial" w:cs="Arial"/>
          <w:b/>
          <w:bCs/>
        </w:rPr>
        <w:t>2</w:t>
      </w:r>
      <w:r w:rsidR="00920C57">
        <w:rPr>
          <w:rFonts w:ascii="Arial" w:hAnsi="Arial" w:cs="Arial"/>
          <w:b/>
          <w:bCs/>
        </w:rPr>
        <w:t>168</w:t>
      </w:r>
      <w:r w:rsidRPr="00D65A20">
        <w:rPr>
          <w:rFonts w:ascii="Arial" w:hAnsi="Arial" w:cs="Arial"/>
          <w:b/>
          <w:bCs/>
        </w:rPr>
        <w:t>/202</w:t>
      </w:r>
      <w:r>
        <w:rPr>
          <w:rFonts w:ascii="Arial" w:hAnsi="Arial" w:cs="Arial"/>
          <w:b/>
          <w:bCs/>
        </w:rPr>
        <w:t>1</w:t>
      </w:r>
      <w:r w:rsidRPr="00D65A20">
        <w:rPr>
          <w:rFonts w:ascii="Arial" w:hAnsi="Arial" w:cs="Arial"/>
        </w:rPr>
        <w:t xml:space="preserve">, </w:t>
      </w:r>
      <w:r w:rsidRPr="00D65A20">
        <w:rPr>
          <w:rFonts w:ascii="Arial" w:hAnsi="Arial" w:cs="Arial"/>
          <w:lang w:val="es-ES"/>
        </w:rPr>
        <w:t>al cual dio origen el recurso de revisión presentado</w:t>
      </w:r>
      <w:r w:rsidRPr="00D65A20">
        <w:rPr>
          <w:rFonts w:ascii="Arial" w:hAnsi="Arial" w:cs="Arial"/>
        </w:rPr>
        <w:t xml:space="preserve"> por la persona </w:t>
      </w:r>
      <w:r w:rsidRPr="00D65A20">
        <w:rPr>
          <w:rFonts w:ascii="Arial" w:hAnsi="Arial" w:cs="Arial"/>
          <w:lang w:val="es-ES"/>
        </w:rPr>
        <w:t xml:space="preserve">recurrente en contra de la respuesta emitida por </w:t>
      </w:r>
      <w:r>
        <w:rPr>
          <w:rFonts w:ascii="Arial" w:hAnsi="Arial" w:cs="Arial"/>
        </w:rPr>
        <w:t xml:space="preserve">la </w:t>
      </w:r>
      <w:r w:rsidR="00920C57">
        <w:rPr>
          <w:rFonts w:ascii="Arial" w:hAnsi="Arial" w:cs="Arial"/>
          <w:b/>
          <w:bCs/>
          <w:color w:val="000000"/>
          <w:lang w:val="es-ES"/>
        </w:rPr>
        <w:t>Secretaría de Obras y Servicios</w:t>
      </w:r>
      <w:r w:rsidR="00F110D8">
        <w:rPr>
          <w:rFonts w:ascii="Arial" w:hAnsi="Arial" w:cs="Arial"/>
          <w:b/>
          <w:bCs/>
          <w:color w:val="000000"/>
          <w:lang w:val="es-ES"/>
        </w:rPr>
        <w:t xml:space="preserve"> </w:t>
      </w:r>
      <w:r w:rsidRPr="00D65A20">
        <w:rPr>
          <w:rFonts w:ascii="Arial" w:hAnsi="Arial" w:cs="Arial"/>
          <w:lang w:val="es-ES"/>
        </w:rPr>
        <w:t>a su solicitud de acceso a información pública; se emite la presente resolución, la cual versará en el estudio de la legalidad de dicha respuesta.</w:t>
      </w:r>
    </w:p>
    <w:p w14:paraId="1DEE3CCA" w14:textId="77777777" w:rsidR="0097428C" w:rsidRPr="00CE5407" w:rsidRDefault="0097428C" w:rsidP="0097428C">
      <w:pPr>
        <w:spacing w:line="360" w:lineRule="auto"/>
        <w:jc w:val="both"/>
        <w:rPr>
          <w:rFonts w:ascii="Arial" w:hAnsi="Arial" w:cs="Arial"/>
          <w:lang w:val="es-ES"/>
        </w:rPr>
      </w:pPr>
    </w:p>
    <w:p w14:paraId="7B012002" w14:textId="77777777" w:rsidR="00EB06E2" w:rsidRDefault="00EB06E2" w:rsidP="0097428C">
      <w:pPr>
        <w:spacing w:line="360" w:lineRule="auto"/>
        <w:jc w:val="center"/>
        <w:outlineLvl w:val="0"/>
        <w:rPr>
          <w:rFonts w:ascii="Arial" w:eastAsia="Calibri" w:hAnsi="Arial" w:cs="Arial"/>
          <w:b/>
        </w:rPr>
      </w:pPr>
    </w:p>
    <w:p w14:paraId="579EC2AF" w14:textId="51C7D9F3" w:rsidR="0097428C" w:rsidRPr="00D65A20" w:rsidRDefault="0097428C" w:rsidP="0097428C">
      <w:pPr>
        <w:spacing w:line="360" w:lineRule="auto"/>
        <w:jc w:val="center"/>
        <w:outlineLvl w:val="0"/>
        <w:rPr>
          <w:rFonts w:ascii="Arial" w:eastAsia="Calibri" w:hAnsi="Arial" w:cs="Arial"/>
          <w:b/>
        </w:rPr>
      </w:pPr>
      <w:r w:rsidRPr="00D65A20">
        <w:rPr>
          <w:rFonts w:ascii="Arial" w:eastAsia="Calibri" w:hAnsi="Arial" w:cs="Arial"/>
          <w:b/>
        </w:rPr>
        <w:t>ÍNDICE</w:t>
      </w:r>
    </w:p>
    <w:tbl>
      <w:tblPr>
        <w:tblpPr w:leftFromText="141" w:rightFromText="141" w:vertAnchor="text" w:horzAnchor="margin" w:tblpXSpec="center" w:tblpY="114"/>
        <w:tblW w:w="0" w:type="auto"/>
        <w:tblLook w:val="04A0" w:firstRow="1" w:lastRow="0" w:firstColumn="1" w:lastColumn="0" w:noHBand="0" w:noVBand="1"/>
      </w:tblPr>
      <w:tblGrid>
        <w:gridCol w:w="5070"/>
        <w:gridCol w:w="1803"/>
      </w:tblGrid>
      <w:tr w:rsidR="0097428C" w:rsidRPr="00432E47" w14:paraId="47C1DE05" w14:textId="77777777" w:rsidTr="00632FD5">
        <w:trPr>
          <w:trHeight w:val="324"/>
        </w:trPr>
        <w:tc>
          <w:tcPr>
            <w:tcW w:w="5070" w:type="dxa"/>
            <w:shd w:val="clear" w:color="auto" w:fill="auto"/>
            <w:vAlign w:val="center"/>
          </w:tcPr>
          <w:p w14:paraId="009FA159" w14:textId="77777777" w:rsidR="0097428C" w:rsidRPr="00432E47" w:rsidRDefault="0097428C" w:rsidP="00632FD5">
            <w:pPr>
              <w:jc w:val="both"/>
              <w:rPr>
                <w:rFonts w:ascii="Arial" w:eastAsia="Calibri" w:hAnsi="Arial" w:cs="Arial"/>
              </w:rPr>
            </w:pPr>
            <w:r w:rsidRPr="00432E47">
              <w:rPr>
                <w:rFonts w:ascii="Arial" w:eastAsia="Calibri" w:hAnsi="Arial" w:cs="Arial"/>
              </w:rPr>
              <w:t>ANTECEDENTES</w:t>
            </w:r>
          </w:p>
        </w:tc>
        <w:tc>
          <w:tcPr>
            <w:tcW w:w="1803" w:type="dxa"/>
            <w:shd w:val="clear" w:color="auto" w:fill="auto"/>
            <w:vAlign w:val="center"/>
          </w:tcPr>
          <w:p w14:paraId="06FD8AC8" w14:textId="4A5B51BE" w:rsidR="0097428C" w:rsidRPr="00FE708E" w:rsidRDefault="003020C8" w:rsidP="00632FD5">
            <w:pPr>
              <w:jc w:val="center"/>
              <w:rPr>
                <w:rFonts w:ascii="Arial" w:eastAsia="Calibri" w:hAnsi="Arial" w:cs="Arial"/>
              </w:rPr>
            </w:pPr>
            <w:r w:rsidRPr="00FE708E">
              <w:rPr>
                <w:rFonts w:ascii="Arial" w:eastAsia="Calibri" w:hAnsi="Arial" w:cs="Arial"/>
              </w:rPr>
              <w:t>3</w:t>
            </w:r>
          </w:p>
        </w:tc>
      </w:tr>
      <w:tr w:rsidR="0097428C" w:rsidRPr="00432E47" w14:paraId="7E704B87" w14:textId="77777777" w:rsidTr="00632FD5">
        <w:trPr>
          <w:trHeight w:val="339"/>
        </w:trPr>
        <w:tc>
          <w:tcPr>
            <w:tcW w:w="5070" w:type="dxa"/>
            <w:shd w:val="clear" w:color="auto" w:fill="auto"/>
            <w:vAlign w:val="center"/>
          </w:tcPr>
          <w:p w14:paraId="736F301B" w14:textId="77777777" w:rsidR="0097428C" w:rsidRPr="00432E47" w:rsidRDefault="0097428C" w:rsidP="00632FD5">
            <w:pPr>
              <w:jc w:val="both"/>
              <w:rPr>
                <w:rFonts w:ascii="Arial" w:eastAsia="Calibri" w:hAnsi="Arial" w:cs="Arial"/>
              </w:rPr>
            </w:pPr>
            <w:r w:rsidRPr="00432E47">
              <w:rPr>
                <w:rFonts w:ascii="Arial" w:eastAsia="Calibri" w:hAnsi="Arial" w:cs="Arial"/>
              </w:rPr>
              <w:t>CONSIDERACIONES</w:t>
            </w:r>
          </w:p>
        </w:tc>
        <w:tc>
          <w:tcPr>
            <w:tcW w:w="1803" w:type="dxa"/>
            <w:shd w:val="clear" w:color="auto" w:fill="auto"/>
            <w:vAlign w:val="center"/>
          </w:tcPr>
          <w:p w14:paraId="0B956C81" w14:textId="1DE4AC01" w:rsidR="0097428C" w:rsidRPr="00FE708E" w:rsidRDefault="00FE708E" w:rsidP="00632FD5">
            <w:pPr>
              <w:jc w:val="center"/>
              <w:rPr>
                <w:rFonts w:ascii="Arial" w:eastAsia="Calibri" w:hAnsi="Arial" w:cs="Arial"/>
              </w:rPr>
            </w:pPr>
            <w:r w:rsidRPr="00FE708E">
              <w:rPr>
                <w:rFonts w:ascii="Arial" w:eastAsia="Calibri" w:hAnsi="Arial" w:cs="Arial"/>
              </w:rPr>
              <w:t>14</w:t>
            </w:r>
          </w:p>
        </w:tc>
      </w:tr>
      <w:tr w:rsidR="0097428C" w:rsidRPr="00432E47" w14:paraId="281B5C82" w14:textId="77777777" w:rsidTr="00632FD5">
        <w:trPr>
          <w:trHeight w:val="339"/>
        </w:trPr>
        <w:tc>
          <w:tcPr>
            <w:tcW w:w="5070" w:type="dxa"/>
            <w:shd w:val="clear" w:color="auto" w:fill="auto"/>
            <w:vAlign w:val="center"/>
          </w:tcPr>
          <w:p w14:paraId="350E82DD" w14:textId="77777777" w:rsidR="0097428C" w:rsidRPr="00432E47" w:rsidRDefault="0097428C" w:rsidP="00632FD5">
            <w:pPr>
              <w:ind w:left="284"/>
              <w:jc w:val="both"/>
              <w:rPr>
                <w:rFonts w:ascii="Arial" w:eastAsia="Calibri" w:hAnsi="Arial" w:cs="Arial"/>
              </w:rPr>
            </w:pPr>
            <w:r w:rsidRPr="00432E47">
              <w:rPr>
                <w:rFonts w:ascii="Arial" w:eastAsia="Calibri" w:hAnsi="Arial" w:cs="Arial"/>
              </w:rPr>
              <w:t>PRIMERA. Competencia</w:t>
            </w:r>
          </w:p>
        </w:tc>
        <w:tc>
          <w:tcPr>
            <w:tcW w:w="1803" w:type="dxa"/>
            <w:shd w:val="clear" w:color="auto" w:fill="auto"/>
            <w:vAlign w:val="center"/>
          </w:tcPr>
          <w:p w14:paraId="08BF25D7" w14:textId="35C3A1FA" w:rsidR="0097428C" w:rsidRPr="00FE708E" w:rsidRDefault="00FE708E" w:rsidP="00632FD5">
            <w:pPr>
              <w:jc w:val="center"/>
              <w:rPr>
                <w:rFonts w:ascii="Arial" w:eastAsia="Calibri" w:hAnsi="Arial" w:cs="Arial"/>
              </w:rPr>
            </w:pPr>
            <w:r w:rsidRPr="00FE708E">
              <w:rPr>
                <w:rFonts w:ascii="Arial" w:eastAsia="Calibri" w:hAnsi="Arial" w:cs="Arial"/>
              </w:rPr>
              <w:t>14</w:t>
            </w:r>
          </w:p>
        </w:tc>
      </w:tr>
      <w:tr w:rsidR="0097428C" w:rsidRPr="00432E47" w14:paraId="468D224F" w14:textId="77777777" w:rsidTr="00632FD5">
        <w:trPr>
          <w:trHeight w:val="339"/>
        </w:trPr>
        <w:tc>
          <w:tcPr>
            <w:tcW w:w="5070" w:type="dxa"/>
            <w:shd w:val="clear" w:color="auto" w:fill="auto"/>
            <w:vAlign w:val="center"/>
          </w:tcPr>
          <w:p w14:paraId="3CB8B1EE" w14:textId="77777777" w:rsidR="0097428C" w:rsidRPr="00432E47" w:rsidRDefault="0097428C" w:rsidP="00632FD5">
            <w:pPr>
              <w:ind w:left="708" w:hanging="424"/>
              <w:jc w:val="both"/>
              <w:rPr>
                <w:rFonts w:ascii="Arial" w:eastAsia="Calibri" w:hAnsi="Arial" w:cs="Arial"/>
              </w:rPr>
            </w:pPr>
            <w:r w:rsidRPr="00432E47">
              <w:rPr>
                <w:rFonts w:ascii="Arial" w:eastAsia="Calibri" w:hAnsi="Arial" w:cs="Arial"/>
              </w:rPr>
              <w:t>SEGUNDA. Procedencia</w:t>
            </w:r>
          </w:p>
        </w:tc>
        <w:tc>
          <w:tcPr>
            <w:tcW w:w="1803" w:type="dxa"/>
            <w:shd w:val="clear" w:color="auto" w:fill="auto"/>
            <w:vAlign w:val="center"/>
          </w:tcPr>
          <w:p w14:paraId="148ED4F9" w14:textId="049085CF" w:rsidR="0097428C" w:rsidRPr="00FE708E" w:rsidRDefault="00FE708E" w:rsidP="00632FD5">
            <w:pPr>
              <w:jc w:val="center"/>
              <w:rPr>
                <w:rFonts w:ascii="Arial" w:eastAsia="Calibri" w:hAnsi="Arial" w:cs="Arial"/>
              </w:rPr>
            </w:pPr>
            <w:r w:rsidRPr="00FE708E">
              <w:rPr>
                <w:rFonts w:ascii="Arial" w:eastAsia="Calibri" w:hAnsi="Arial" w:cs="Arial"/>
              </w:rPr>
              <w:t>15</w:t>
            </w:r>
          </w:p>
        </w:tc>
      </w:tr>
      <w:tr w:rsidR="0097428C" w:rsidRPr="00432E47" w14:paraId="2C0C62A5" w14:textId="77777777" w:rsidTr="00632FD5">
        <w:trPr>
          <w:trHeight w:val="339"/>
        </w:trPr>
        <w:tc>
          <w:tcPr>
            <w:tcW w:w="5070" w:type="dxa"/>
            <w:shd w:val="clear" w:color="auto" w:fill="auto"/>
            <w:vAlign w:val="center"/>
          </w:tcPr>
          <w:p w14:paraId="2F69FFFA" w14:textId="77777777" w:rsidR="0097428C" w:rsidRPr="00432E47" w:rsidRDefault="0097428C" w:rsidP="00632FD5">
            <w:pPr>
              <w:ind w:left="1735" w:hanging="1450"/>
              <w:jc w:val="both"/>
              <w:rPr>
                <w:rFonts w:ascii="Arial" w:eastAsia="Calibri" w:hAnsi="Arial" w:cs="Arial"/>
              </w:rPr>
            </w:pPr>
            <w:r w:rsidRPr="00432E47">
              <w:rPr>
                <w:rFonts w:ascii="Arial" w:eastAsia="Calibri" w:hAnsi="Arial" w:cs="Arial"/>
              </w:rPr>
              <w:t>TERCERA. Descripción de hechos y planteamiento de la controversia</w:t>
            </w:r>
          </w:p>
        </w:tc>
        <w:tc>
          <w:tcPr>
            <w:tcW w:w="1803" w:type="dxa"/>
            <w:shd w:val="clear" w:color="auto" w:fill="auto"/>
            <w:vAlign w:val="center"/>
          </w:tcPr>
          <w:p w14:paraId="108DD40B" w14:textId="7C0A4C1C" w:rsidR="0097428C" w:rsidRPr="00FE708E" w:rsidRDefault="0097428C" w:rsidP="00632FD5">
            <w:pPr>
              <w:jc w:val="center"/>
              <w:rPr>
                <w:rFonts w:ascii="Arial" w:eastAsia="Calibri" w:hAnsi="Arial" w:cs="Arial"/>
              </w:rPr>
            </w:pPr>
            <w:r w:rsidRPr="00FE708E">
              <w:rPr>
                <w:rFonts w:ascii="Arial" w:eastAsia="Calibri" w:hAnsi="Arial" w:cs="Arial"/>
              </w:rPr>
              <w:t>1</w:t>
            </w:r>
            <w:r w:rsidR="00FE708E" w:rsidRPr="00FE708E">
              <w:rPr>
                <w:rFonts w:ascii="Arial" w:eastAsia="Calibri" w:hAnsi="Arial" w:cs="Arial"/>
              </w:rPr>
              <w:t>6</w:t>
            </w:r>
          </w:p>
        </w:tc>
      </w:tr>
      <w:tr w:rsidR="0097428C" w:rsidRPr="00432E47" w14:paraId="75BE351A" w14:textId="77777777" w:rsidTr="00632FD5">
        <w:trPr>
          <w:trHeight w:val="238"/>
        </w:trPr>
        <w:tc>
          <w:tcPr>
            <w:tcW w:w="5070" w:type="dxa"/>
            <w:shd w:val="clear" w:color="auto" w:fill="auto"/>
            <w:vAlign w:val="center"/>
          </w:tcPr>
          <w:p w14:paraId="723113B4" w14:textId="77777777" w:rsidR="0097428C" w:rsidRPr="00432E47" w:rsidRDefault="0097428C" w:rsidP="00632FD5">
            <w:pPr>
              <w:ind w:left="1593" w:hanging="1275"/>
              <w:jc w:val="both"/>
              <w:rPr>
                <w:rFonts w:ascii="Arial" w:eastAsia="Calibri" w:hAnsi="Arial" w:cs="Arial"/>
              </w:rPr>
            </w:pPr>
            <w:r w:rsidRPr="00432E47">
              <w:rPr>
                <w:rFonts w:ascii="Arial" w:eastAsia="Calibri" w:hAnsi="Arial" w:cs="Arial"/>
              </w:rPr>
              <w:t>CUARTA. Estudio de la controversia</w:t>
            </w:r>
          </w:p>
        </w:tc>
        <w:tc>
          <w:tcPr>
            <w:tcW w:w="1803" w:type="dxa"/>
            <w:vAlign w:val="center"/>
          </w:tcPr>
          <w:p w14:paraId="5FCDD055" w14:textId="2D5A48D5" w:rsidR="0097428C" w:rsidRPr="00FE708E" w:rsidRDefault="0097428C" w:rsidP="00632FD5">
            <w:pPr>
              <w:spacing w:after="160"/>
              <w:jc w:val="center"/>
              <w:rPr>
                <w:rFonts w:ascii="Arial" w:hAnsi="Arial" w:cs="Arial"/>
              </w:rPr>
            </w:pPr>
            <w:r w:rsidRPr="00FE708E">
              <w:rPr>
                <w:rFonts w:ascii="Arial" w:hAnsi="Arial" w:cs="Arial"/>
              </w:rPr>
              <w:t>1</w:t>
            </w:r>
            <w:r w:rsidR="00FE708E" w:rsidRPr="00FE708E">
              <w:rPr>
                <w:rFonts w:ascii="Arial" w:hAnsi="Arial" w:cs="Arial"/>
              </w:rPr>
              <w:t>8</w:t>
            </w:r>
          </w:p>
        </w:tc>
      </w:tr>
      <w:tr w:rsidR="0097428C" w:rsidRPr="00432E47" w14:paraId="340DA3DE" w14:textId="77777777" w:rsidTr="00632FD5">
        <w:trPr>
          <w:trHeight w:val="238"/>
        </w:trPr>
        <w:tc>
          <w:tcPr>
            <w:tcW w:w="5070" w:type="dxa"/>
            <w:shd w:val="clear" w:color="auto" w:fill="auto"/>
            <w:vAlign w:val="center"/>
          </w:tcPr>
          <w:p w14:paraId="1D0819B0" w14:textId="77777777" w:rsidR="0097428C" w:rsidRPr="00432E47" w:rsidRDefault="0097428C" w:rsidP="00632FD5">
            <w:pPr>
              <w:ind w:left="1593" w:hanging="1275"/>
              <w:jc w:val="both"/>
              <w:rPr>
                <w:rFonts w:ascii="Arial" w:eastAsia="Calibri" w:hAnsi="Arial" w:cs="Arial"/>
              </w:rPr>
            </w:pPr>
            <w:r w:rsidRPr="00432E47">
              <w:rPr>
                <w:rFonts w:ascii="Arial" w:eastAsia="Calibri" w:hAnsi="Arial" w:cs="Arial"/>
              </w:rPr>
              <w:t>QUINTA. Responsabilidades</w:t>
            </w:r>
          </w:p>
        </w:tc>
        <w:tc>
          <w:tcPr>
            <w:tcW w:w="1803" w:type="dxa"/>
            <w:vAlign w:val="center"/>
          </w:tcPr>
          <w:p w14:paraId="5ACE3680" w14:textId="7EBCE096" w:rsidR="0097428C" w:rsidRPr="00FE708E" w:rsidRDefault="00FE708E" w:rsidP="00632FD5">
            <w:pPr>
              <w:spacing w:after="160"/>
              <w:jc w:val="center"/>
              <w:rPr>
                <w:rFonts w:ascii="Arial" w:hAnsi="Arial" w:cs="Arial"/>
              </w:rPr>
            </w:pPr>
            <w:r w:rsidRPr="00FE708E">
              <w:rPr>
                <w:rFonts w:ascii="Arial" w:hAnsi="Arial" w:cs="Arial"/>
              </w:rPr>
              <w:t>30</w:t>
            </w:r>
          </w:p>
        </w:tc>
      </w:tr>
      <w:tr w:rsidR="0097428C" w:rsidRPr="00432E47" w14:paraId="45441C9C" w14:textId="77777777" w:rsidTr="00632FD5">
        <w:trPr>
          <w:trHeight w:val="80"/>
        </w:trPr>
        <w:tc>
          <w:tcPr>
            <w:tcW w:w="5070" w:type="dxa"/>
            <w:shd w:val="clear" w:color="auto" w:fill="auto"/>
            <w:vAlign w:val="center"/>
          </w:tcPr>
          <w:p w14:paraId="0A544D8C" w14:textId="77777777" w:rsidR="0097428C" w:rsidRPr="00432E47" w:rsidRDefault="0097428C" w:rsidP="00632FD5">
            <w:pPr>
              <w:ind w:left="318" w:hanging="424"/>
              <w:jc w:val="both"/>
              <w:rPr>
                <w:rFonts w:ascii="Arial" w:eastAsia="Calibri" w:hAnsi="Arial" w:cs="Arial"/>
              </w:rPr>
            </w:pPr>
            <w:r w:rsidRPr="00432E47">
              <w:rPr>
                <w:rFonts w:ascii="Arial" w:eastAsia="Calibri" w:hAnsi="Arial" w:cs="Arial"/>
              </w:rPr>
              <w:t>Resolutivos</w:t>
            </w:r>
          </w:p>
        </w:tc>
        <w:tc>
          <w:tcPr>
            <w:tcW w:w="1803" w:type="dxa"/>
            <w:vAlign w:val="center"/>
          </w:tcPr>
          <w:p w14:paraId="5F2FBBCA" w14:textId="2AA9B9E4" w:rsidR="0097428C" w:rsidRPr="00FE708E" w:rsidRDefault="00FE708E" w:rsidP="00632FD5">
            <w:pPr>
              <w:spacing w:after="160"/>
              <w:jc w:val="center"/>
              <w:rPr>
                <w:rFonts w:ascii="Arial" w:hAnsi="Arial" w:cs="Arial"/>
              </w:rPr>
            </w:pPr>
            <w:r w:rsidRPr="00FE708E">
              <w:rPr>
                <w:rFonts w:ascii="Arial" w:hAnsi="Arial" w:cs="Arial"/>
              </w:rPr>
              <w:t>30</w:t>
            </w:r>
          </w:p>
        </w:tc>
      </w:tr>
    </w:tbl>
    <w:p w14:paraId="610A598C" w14:textId="77777777" w:rsidR="0097428C" w:rsidRPr="00D65A20" w:rsidRDefault="0097428C" w:rsidP="0097428C">
      <w:pPr>
        <w:spacing w:line="360" w:lineRule="auto"/>
        <w:jc w:val="both"/>
        <w:outlineLvl w:val="0"/>
        <w:rPr>
          <w:rFonts w:ascii="Arial" w:eastAsia="Calibri" w:hAnsi="Arial" w:cs="Arial"/>
        </w:rPr>
      </w:pPr>
    </w:p>
    <w:p w14:paraId="651A37A2" w14:textId="77777777" w:rsidR="0097428C" w:rsidRPr="00D65A20" w:rsidRDefault="0097428C" w:rsidP="0097428C">
      <w:pPr>
        <w:spacing w:line="360" w:lineRule="auto"/>
        <w:jc w:val="both"/>
        <w:outlineLvl w:val="0"/>
        <w:rPr>
          <w:rFonts w:ascii="Arial" w:eastAsia="Calibri" w:hAnsi="Arial" w:cs="Arial"/>
        </w:rPr>
      </w:pPr>
    </w:p>
    <w:p w14:paraId="39D531A5" w14:textId="77777777" w:rsidR="0097428C" w:rsidRDefault="0097428C" w:rsidP="0097428C">
      <w:pPr>
        <w:spacing w:line="360" w:lineRule="auto"/>
        <w:outlineLvl w:val="0"/>
        <w:rPr>
          <w:rFonts w:ascii="Arial" w:eastAsia="Calibri" w:hAnsi="Arial" w:cs="Arial"/>
          <w:b/>
          <w:bCs/>
        </w:rPr>
      </w:pPr>
    </w:p>
    <w:p w14:paraId="42DE6115" w14:textId="77777777" w:rsidR="0097428C" w:rsidRDefault="0097428C" w:rsidP="0097428C">
      <w:pPr>
        <w:spacing w:line="360" w:lineRule="auto"/>
        <w:jc w:val="center"/>
        <w:outlineLvl w:val="0"/>
        <w:rPr>
          <w:rFonts w:ascii="Arial" w:eastAsia="Calibri" w:hAnsi="Arial" w:cs="Arial"/>
          <w:b/>
          <w:bCs/>
        </w:rPr>
      </w:pPr>
    </w:p>
    <w:p w14:paraId="683F29CF" w14:textId="77777777" w:rsidR="0097428C" w:rsidRDefault="0097428C" w:rsidP="0097428C">
      <w:pPr>
        <w:spacing w:line="360" w:lineRule="auto"/>
        <w:jc w:val="center"/>
        <w:outlineLvl w:val="0"/>
        <w:rPr>
          <w:rFonts w:ascii="Arial" w:eastAsia="Calibri" w:hAnsi="Arial" w:cs="Arial"/>
          <w:b/>
          <w:bCs/>
        </w:rPr>
      </w:pPr>
    </w:p>
    <w:p w14:paraId="5A33D977" w14:textId="77777777" w:rsidR="0097428C" w:rsidRDefault="0097428C" w:rsidP="0097428C">
      <w:pPr>
        <w:spacing w:line="360" w:lineRule="auto"/>
        <w:jc w:val="center"/>
        <w:outlineLvl w:val="0"/>
        <w:rPr>
          <w:rFonts w:ascii="Arial" w:eastAsia="Calibri" w:hAnsi="Arial" w:cs="Arial"/>
          <w:b/>
          <w:bCs/>
        </w:rPr>
      </w:pPr>
    </w:p>
    <w:p w14:paraId="122AA052" w14:textId="77777777" w:rsidR="0097428C" w:rsidRDefault="0097428C" w:rsidP="0097428C">
      <w:pPr>
        <w:spacing w:line="360" w:lineRule="auto"/>
        <w:jc w:val="center"/>
        <w:outlineLvl w:val="0"/>
        <w:rPr>
          <w:rFonts w:ascii="Arial" w:eastAsia="Calibri" w:hAnsi="Arial" w:cs="Arial"/>
          <w:b/>
          <w:bCs/>
        </w:rPr>
      </w:pPr>
    </w:p>
    <w:p w14:paraId="08552775" w14:textId="77777777" w:rsidR="0097428C" w:rsidRDefault="0097428C" w:rsidP="0097428C">
      <w:pPr>
        <w:spacing w:line="360" w:lineRule="auto"/>
        <w:jc w:val="center"/>
        <w:outlineLvl w:val="0"/>
        <w:rPr>
          <w:rFonts w:ascii="Arial" w:eastAsia="Calibri" w:hAnsi="Arial" w:cs="Arial"/>
          <w:b/>
          <w:bCs/>
        </w:rPr>
      </w:pPr>
    </w:p>
    <w:p w14:paraId="45D779C9" w14:textId="77777777" w:rsidR="0097428C" w:rsidRDefault="0097428C" w:rsidP="0097428C">
      <w:pPr>
        <w:spacing w:line="360" w:lineRule="auto"/>
        <w:jc w:val="center"/>
        <w:outlineLvl w:val="0"/>
        <w:rPr>
          <w:rFonts w:ascii="Arial" w:eastAsia="Calibri" w:hAnsi="Arial" w:cs="Arial"/>
          <w:b/>
          <w:bCs/>
        </w:rPr>
      </w:pPr>
    </w:p>
    <w:p w14:paraId="7667FC64" w14:textId="77777777" w:rsidR="0097428C" w:rsidRDefault="0097428C" w:rsidP="0097428C">
      <w:pPr>
        <w:spacing w:line="360" w:lineRule="auto"/>
        <w:jc w:val="center"/>
        <w:outlineLvl w:val="0"/>
        <w:rPr>
          <w:rFonts w:ascii="Arial" w:eastAsia="Calibri" w:hAnsi="Arial" w:cs="Arial"/>
          <w:b/>
          <w:bCs/>
        </w:rPr>
      </w:pPr>
    </w:p>
    <w:p w14:paraId="2DEC7985" w14:textId="77777777" w:rsidR="00EB06E2" w:rsidRDefault="00EB06E2" w:rsidP="0097428C">
      <w:pPr>
        <w:spacing w:line="360" w:lineRule="auto"/>
        <w:jc w:val="center"/>
        <w:outlineLvl w:val="0"/>
        <w:rPr>
          <w:rFonts w:ascii="Arial" w:eastAsia="Calibri" w:hAnsi="Arial" w:cs="Arial"/>
          <w:b/>
          <w:bCs/>
        </w:rPr>
      </w:pPr>
    </w:p>
    <w:p w14:paraId="3E71FBCA" w14:textId="77777777" w:rsidR="00EB06E2" w:rsidRDefault="00EB06E2" w:rsidP="0097428C">
      <w:pPr>
        <w:spacing w:line="360" w:lineRule="auto"/>
        <w:jc w:val="center"/>
        <w:outlineLvl w:val="0"/>
        <w:rPr>
          <w:rFonts w:ascii="Arial" w:eastAsia="Calibri" w:hAnsi="Arial" w:cs="Arial"/>
          <w:b/>
          <w:bCs/>
        </w:rPr>
      </w:pPr>
    </w:p>
    <w:p w14:paraId="0E4A8982" w14:textId="63FEBBA8" w:rsidR="0097428C" w:rsidRPr="00D65A20" w:rsidRDefault="0097428C" w:rsidP="0097428C">
      <w:pPr>
        <w:spacing w:line="360" w:lineRule="auto"/>
        <w:jc w:val="center"/>
        <w:outlineLvl w:val="0"/>
        <w:rPr>
          <w:rFonts w:ascii="Arial" w:eastAsia="Calibri" w:hAnsi="Arial" w:cs="Arial"/>
        </w:rPr>
      </w:pPr>
      <w:r w:rsidRPr="000C65A7">
        <w:rPr>
          <w:rFonts w:ascii="Arial" w:eastAsia="Calibri" w:hAnsi="Arial" w:cs="Arial"/>
          <w:b/>
          <w:bCs/>
        </w:rPr>
        <w:lastRenderedPageBreak/>
        <w:t>A N T E C E D E N T E S</w:t>
      </w:r>
    </w:p>
    <w:p w14:paraId="5C89F965" w14:textId="2C774C52" w:rsidR="0097428C" w:rsidRPr="002E7BBF" w:rsidRDefault="0097428C" w:rsidP="0097428C">
      <w:pPr>
        <w:pStyle w:val="NormalWeb"/>
        <w:spacing w:line="360" w:lineRule="auto"/>
        <w:jc w:val="both"/>
        <w:rPr>
          <w:rFonts w:ascii="Arial" w:eastAsia="Calibri" w:hAnsi="Arial" w:cs="Arial"/>
          <w:bCs/>
        </w:rPr>
      </w:pPr>
      <w:r w:rsidRPr="00584DA3">
        <w:rPr>
          <w:rFonts w:ascii="Arial" w:eastAsia="Calibri" w:hAnsi="Arial" w:cs="Arial"/>
          <w:b/>
          <w:bCs/>
        </w:rPr>
        <w:t xml:space="preserve">I. Solicitud de acceso a la información pública. </w:t>
      </w:r>
      <w:r w:rsidRPr="00584DA3">
        <w:rPr>
          <w:rFonts w:ascii="Arial" w:eastAsia="Calibri" w:hAnsi="Arial" w:cs="Arial"/>
          <w:bCs/>
        </w:rPr>
        <w:t xml:space="preserve">El </w:t>
      </w:r>
      <w:r w:rsidR="00BE79B2">
        <w:rPr>
          <w:rFonts w:ascii="Arial" w:eastAsia="Calibri" w:hAnsi="Arial" w:cs="Arial"/>
          <w:bCs/>
        </w:rPr>
        <w:t>10 de noviembre</w:t>
      </w:r>
      <w:r w:rsidRPr="00584DA3">
        <w:rPr>
          <w:rFonts w:ascii="Arial" w:eastAsia="Calibri" w:hAnsi="Arial" w:cs="Arial"/>
          <w:bCs/>
        </w:rPr>
        <w:t xml:space="preserve"> de 202</w:t>
      </w:r>
      <w:r w:rsidR="00BE79B2">
        <w:rPr>
          <w:rFonts w:ascii="Arial" w:eastAsia="Calibri" w:hAnsi="Arial" w:cs="Arial"/>
          <w:bCs/>
        </w:rPr>
        <w:t>0</w:t>
      </w:r>
      <w:r w:rsidRPr="00584DA3">
        <w:rPr>
          <w:rFonts w:ascii="Arial" w:eastAsia="Calibri" w:hAnsi="Arial" w:cs="Arial"/>
          <w:bCs/>
        </w:rPr>
        <w:t xml:space="preserve">, a través de la Plataforma Nacional de Transparencia, en adelante PNT, la persona hoy recurrente presentó solicitud de acceso a información pública, a la que le fue asignado </w:t>
      </w:r>
      <w:r w:rsidRPr="002E7BBF">
        <w:rPr>
          <w:rFonts w:ascii="Arial" w:eastAsia="Calibri" w:hAnsi="Arial" w:cs="Arial"/>
          <w:bCs/>
        </w:rPr>
        <w:t xml:space="preserve">el folio </w:t>
      </w:r>
      <w:r w:rsidR="00836684">
        <w:rPr>
          <w:rFonts w:ascii="Arial" w:hAnsi="Arial" w:cs="Arial"/>
        </w:rPr>
        <w:t>0107000176320</w:t>
      </w:r>
      <w:r w:rsidRPr="002E7BBF">
        <w:rPr>
          <w:rFonts w:ascii="Arial" w:hAnsi="Arial" w:cs="Arial"/>
        </w:rPr>
        <w:t>.</w:t>
      </w:r>
      <w:r w:rsidRPr="002E7BBF">
        <w:rPr>
          <w:rFonts w:ascii="Arial" w:eastAsia="Calibri" w:hAnsi="Arial" w:cs="Arial"/>
          <w:bCs/>
        </w:rPr>
        <w:t xml:space="preserve"> </w:t>
      </w:r>
    </w:p>
    <w:p w14:paraId="3431883C" w14:textId="77777777" w:rsidR="0097428C" w:rsidRPr="00D65A20" w:rsidRDefault="0097428C" w:rsidP="0097428C">
      <w:pPr>
        <w:spacing w:line="360" w:lineRule="auto"/>
        <w:jc w:val="both"/>
        <w:outlineLvl w:val="0"/>
        <w:rPr>
          <w:rFonts w:ascii="Arial" w:eastAsia="Calibri" w:hAnsi="Arial" w:cs="Arial"/>
          <w:bCs/>
        </w:rPr>
      </w:pPr>
      <w:r w:rsidRPr="00D65A20">
        <w:rPr>
          <w:rFonts w:ascii="Arial" w:eastAsia="Calibri" w:hAnsi="Arial" w:cs="Arial"/>
          <w:bCs/>
        </w:rPr>
        <w:t>En dicha solicitud la persona ahora recurrente requirió lo siguiente:</w:t>
      </w:r>
    </w:p>
    <w:p w14:paraId="2FC982E0" w14:textId="77777777" w:rsidR="00BE79B2" w:rsidRPr="00BE79B2" w:rsidRDefault="0097428C" w:rsidP="00BE79B2">
      <w:pPr>
        <w:pStyle w:val="NormalWeb"/>
        <w:ind w:left="567" w:right="567"/>
        <w:jc w:val="both"/>
        <w:rPr>
          <w:rFonts w:ascii="Arial" w:eastAsia="Calibri" w:hAnsi="Arial" w:cs="Arial"/>
          <w:bCs/>
          <w:i/>
          <w:sz w:val="20"/>
          <w:szCs w:val="20"/>
        </w:rPr>
      </w:pPr>
      <w:r w:rsidRPr="00964164">
        <w:rPr>
          <w:rFonts w:ascii="Arial" w:eastAsia="Calibri" w:hAnsi="Arial" w:cs="Arial"/>
          <w:bCs/>
          <w:i/>
          <w:sz w:val="20"/>
          <w:szCs w:val="20"/>
        </w:rPr>
        <w:t>“</w:t>
      </w:r>
      <w:r w:rsidR="00BE79B2" w:rsidRPr="00BE79B2">
        <w:rPr>
          <w:rFonts w:ascii="Arial" w:eastAsia="Calibri" w:hAnsi="Arial" w:cs="Arial"/>
          <w:bCs/>
          <w:i/>
          <w:sz w:val="20"/>
          <w:szCs w:val="20"/>
        </w:rPr>
        <w:t>En la Gaceta Oficial de la Ciudad de México del 2 de abril del 2019, se publicó el “DECRETO POR EL QUE SE REFORMAN, ADICIONAN Y DEROGAN DIVERSAS DISPOSICIONES DEL REGLAMENTO DE CONSTRUCCIONES PARA EL DISTRITO FEDERAL”.</w:t>
      </w:r>
      <w:r w:rsidR="00BE79B2" w:rsidRPr="00BE79B2">
        <w:rPr>
          <w:rFonts w:ascii="Arial" w:eastAsia="Calibri" w:hAnsi="Arial" w:cs="Arial"/>
          <w:bCs/>
          <w:i/>
          <w:sz w:val="20"/>
          <w:szCs w:val="20"/>
        </w:rPr>
        <w:br/>
        <w:t xml:space="preserve">En el Transitorio SEXTO de tal Decreto, se menciona que “El Manual de Funcionamiento de la Comisión de Admisión de Directores Responsables de Obra y Corresponsables a que hace referencia este Reglamento será publicado dentro de los 90 días naturales siguientes a la publicación del presente Decreto”. </w:t>
      </w:r>
    </w:p>
    <w:p w14:paraId="33476D87" w14:textId="02EBC2BB" w:rsidR="0097428C" w:rsidRPr="00BE79B2" w:rsidRDefault="00BE79B2" w:rsidP="00BE79B2">
      <w:pPr>
        <w:pStyle w:val="NormalWeb"/>
        <w:ind w:left="567" w:right="567"/>
        <w:jc w:val="both"/>
        <w:rPr>
          <w:rFonts w:ascii="Arial" w:eastAsia="Calibri" w:hAnsi="Arial" w:cs="Arial"/>
          <w:bCs/>
          <w:i/>
          <w:sz w:val="20"/>
          <w:szCs w:val="20"/>
        </w:rPr>
      </w:pPr>
      <w:r w:rsidRPr="00BE79B2">
        <w:rPr>
          <w:rFonts w:ascii="Arial" w:eastAsia="Calibri" w:hAnsi="Arial" w:cs="Arial"/>
          <w:bCs/>
          <w:i/>
          <w:sz w:val="20"/>
          <w:szCs w:val="20"/>
        </w:rPr>
        <w:t>Se solicita a este sujeto obligado copia del mencionado Manual de Funcionamiento de la Comisión de Admisión de Directores Responsables de Obra y Corresponsables, así como información sobre el vínculo a página web oficial en la cual dicho Manual está publicado, en virtud de que corresponde a obligaciones de transparencia comunes, contenidas en el Art. 121 Fracc. I de la Ley de Transparencia, Acceso a la Información Pública y Rendición de Cuentas de la Ciudad de México.</w:t>
      </w:r>
      <w:r w:rsidR="0097428C" w:rsidRPr="00964164">
        <w:rPr>
          <w:rFonts w:ascii="Arial" w:eastAsia="Calibri" w:hAnsi="Arial" w:cs="Arial"/>
          <w:bCs/>
          <w:i/>
          <w:sz w:val="20"/>
          <w:szCs w:val="20"/>
        </w:rPr>
        <w:t>” [SIC]</w:t>
      </w:r>
    </w:p>
    <w:p w14:paraId="2EBE9F89" w14:textId="32D2405D" w:rsidR="0097428C" w:rsidRPr="00BE79B2" w:rsidRDefault="0097428C" w:rsidP="00BE79B2">
      <w:pPr>
        <w:pStyle w:val="NormalWeb"/>
        <w:spacing w:line="360" w:lineRule="auto"/>
        <w:jc w:val="both"/>
        <w:rPr>
          <w:rFonts w:ascii="Arial" w:hAnsi="Arial" w:cs="Arial"/>
          <w:i/>
          <w:iCs/>
        </w:rPr>
      </w:pPr>
      <w:r w:rsidRPr="00BE79B2">
        <w:rPr>
          <w:rFonts w:ascii="Arial" w:eastAsia="Calibri" w:hAnsi="Arial" w:cs="Arial"/>
          <w:bCs/>
        </w:rPr>
        <w:t xml:space="preserve">Además, señaló como </w:t>
      </w:r>
      <w:r w:rsidR="00BE79B2" w:rsidRPr="00BE79B2">
        <w:rPr>
          <w:rFonts w:ascii="Arial" w:hAnsi="Arial" w:cs="Arial"/>
        </w:rPr>
        <w:t>modalidad en la que solicita acceso a</w:t>
      </w:r>
      <w:r w:rsidRPr="00BE79B2">
        <w:rPr>
          <w:rFonts w:ascii="Arial" w:hAnsi="Arial" w:cs="Arial"/>
        </w:rPr>
        <w:t xml:space="preserve"> la información</w:t>
      </w:r>
      <w:r w:rsidRPr="00BE79B2">
        <w:rPr>
          <w:rFonts w:ascii="Arial" w:eastAsia="Calibri" w:hAnsi="Arial" w:cs="Arial"/>
          <w:bCs/>
        </w:rPr>
        <w:t xml:space="preserve">: </w:t>
      </w:r>
      <w:r w:rsidRPr="00BE79B2">
        <w:rPr>
          <w:rFonts w:ascii="Arial" w:eastAsia="Calibri" w:hAnsi="Arial" w:cs="Arial"/>
          <w:bCs/>
          <w:i/>
          <w:iCs/>
        </w:rPr>
        <w:t>“</w:t>
      </w:r>
      <w:r w:rsidRPr="00BE79B2">
        <w:rPr>
          <w:rFonts w:ascii="Arial" w:hAnsi="Arial" w:cs="Arial"/>
          <w:i/>
          <w:iCs/>
        </w:rPr>
        <w:t xml:space="preserve">Electrónico a través del sistema de solicitudes de acceso a la información de la PNT </w:t>
      </w:r>
      <w:r w:rsidRPr="00BE79B2">
        <w:rPr>
          <w:rFonts w:ascii="Arial" w:eastAsia="Calibri" w:hAnsi="Arial" w:cs="Arial"/>
          <w:bCs/>
          <w:i/>
          <w:iCs/>
        </w:rPr>
        <w:t>”;</w:t>
      </w:r>
      <w:r w:rsidRPr="00BE79B2">
        <w:rPr>
          <w:rFonts w:ascii="Arial" w:eastAsia="Calibri" w:hAnsi="Arial" w:cs="Arial"/>
          <w:bCs/>
        </w:rPr>
        <w:t xml:space="preserve">  y como </w:t>
      </w:r>
      <w:r w:rsidRPr="00BE79B2">
        <w:rPr>
          <w:rFonts w:ascii="Arial" w:hAnsi="Arial" w:cs="Arial"/>
        </w:rPr>
        <w:t>medio para recibir notificaciones</w:t>
      </w:r>
      <w:r w:rsidR="00BE79B2" w:rsidRPr="00BE79B2">
        <w:rPr>
          <w:rFonts w:ascii="Arial" w:hAnsi="Arial" w:cs="Arial"/>
        </w:rPr>
        <w:t xml:space="preserve"> durante el procedimiento</w:t>
      </w:r>
      <w:r w:rsidRPr="00BE79B2">
        <w:rPr>
          <w:rFonts w:ascii="Arial" w:eastAsia="Calibri" w:hAnsi="Arial" w:cs="Arial"/>
          <w:bCs/>
          <w:i/>
          <w:iCs/>
        </w:rPr>
        <w:t>: “</w:t>
      </w:r>
      <w:r w:rsidR="00BE79B2" w:rsidRPr="00BE79B2">
        <w:rPr>
          <w:rFonts w:ascii="Arial" w:hAnsi="Arial" w:cs="Arial"/>
          <w:i/>
          <w:iCs/>
        </w:rPr>
        <w:t>Por Internet en INFOMEXDF (Sin Costo)</w:t>
      </w:r>
      <w:r w:rsidRPr="00BE79B2">
        <w:rPr>
          <w:rFonts w:ascii="Arial" w:hAnsi="Arial" w:cs="Arial"/>
          <w:i/>
          <w:iCs/>
        </w:rPr>
        <w:t xml:space="preserve">”. </w:t>
      </w:r>
    </w:p>
    <w:p w14:paraId="61FB2090" w14:textId="7CDE9203" w:rsidR="0097428C" w:rsidRDefault="0097428C" w:rsidP="0097428C">
      <w:pPr>
        <w:pStyle w:val="NormalWeb"/>
        <w:spacing w:line="360" w:lineRule="auto"/>
        <w:jc w:val="both"/>
        <w:rPr>
          <w:rFonts w:ascii="Arial" w:eastAsia="Calibri" w:hAnsi="Arial" w:cs="Arial"/>
          <w:bCs/>
        </w:rPr>
      </w:pPr>
      <w:r w:rsidRPr="008B2066">
        <w:rPr>
          <w:rFonts w:ascii="Arial" w:eastAsia="Calibri" w:hAnsi="Arial" w:cs="Arial"/>
          <w:b/>
          <w:bCs/>
        </w:rPr>
        <w:t>II. Respuesta del sujeto obligado.</w:t>
      </w:r>
      <w:r w:rsidRPr="008B2066">
        <w:rPr>
          <w:rFonts w:ascii="Arial" w:eastAsia="Calibri" w:hAnsi="Arial" w:cs="Arial"/>
          <w:bCs/>
        </w:rPr>
        <w:t xml:space="preserve"> </w:t>
      </w:r>
      <w:r w:rsidR="00735400">
        <w:rPr>
          <w:rFonts w:ascii="Arial" w:eastAsia="Calibri" w:hAnsi="Arial" w:cs="Arial"/>
          <w:bCs/>
        </w:rPr>
        <w:t>Previa ampliación de plazo para emitir respuesta de fecha 8 de octubre de 2021, c</w:t>
      </w:r>
      <w:r>
        <w:rPr>
          <w:rFonts w:ascii="Arial" w:eastAsia="Calibri" w:hAnsi="Arial" w:cs="Arial"/>
          <w:bCs/>
        </w:rPr>
        <w:t>on fecha 2</w:t>
      </w:r>
      <w:r w:rsidR="00735400">
        <w:rPr>
          <w:rFonts w:ascii="Arial" w:eastAsia="Calibri" w:hAnsi="Arial" w:cs="Arial"/>
          <w:bCs/>
        </w:rPr>
        <w:t>0</w:t>
      </w:r>
      <w:r>
        <w:rPr>
          <w:rFonts w:ascii="Arial" w:eastAsia="Calibri" w:hAnsi="Arial" w:cs="Arial"/>
          <w:bCs/>
        </w:rPr>
        <w:t xml:space="preserve"> de octubre</w:t>
      </w:r>
      <w:r w:rsidRPr="008B2066">
        <w:rPr>
          <w:rFonts w:ascii="Arial" w:eastAsia="Calibri" w:hAnsi="Arial" w:cs="Arial"/>
          <w:bCs/>
        </w:rPr>
        <w:t xml:space="preserve"> de 2021</w:t>
      </w:r>
      <w:r w:rsidRPr="008B2066">
        <w:rPr>
          <w:rStyle w:val="Refdenotaalpie"/>
          <w:rFonts w:ascii="Arial" w:eastAsia="Calibri" w:hAnsi="Arial" w:cs="Arial"/>
          <w:bCs/>
        </w:rPr>
        <w:footnoteReference w:id="1"/>
      </w:r>
      <w:r w:rsidRPr="008B2066">
        <w:rPr>
          <w:rFonts w:ascii="Arial" w:eastAsia="Calibri" w:hAnsi="Arial" w:cs="Arial"/>
          <w:bCs/>
        </w:rPr>
        <w:t xml:space="preserve"> el sujeto obligado </w:t>
      </w:r>
      <w:r w:rsidR="00735400">
        <w:rPr>
          <w:rFonts w:ascii="Arial" w:eastAsia="Calibri" w:hAnsi="Arial" w:cs="Arial"/>
          <w:bCs/>
        </w:rPr>
        <w:lastRenderedPageBreak/>
        <w:t xml:space="preserve">emitió </w:t>
      </w:r>
      <w:r w:rsidRPr="008B2066">
        <w:rPr>
          <w:rFonts w:ascii="Arial" w:eastAsia="Calibri" w:hAnsi="Arial" w:cs="Arial"/>
          <w:bCs/>
        </w:rPr>
        <w:t xml:space="preserve">respuesta a la solicitud de acceso a la información pública, mediante </w:t>
      </w:r>
      <w:r>
        <w:rPr>
          <w:rFonts w:ascii="Arial" w:eastAsia="Calibri" w:hAnsi="Arial" w:cs="Arial"/>
          <w:bCs/>
        </w:rPr>
        <w:t xml:space="preserve">el </w:t>
      </w:r>
      <w:r w:rsidRPr="00A05C46">
        <w:rPr>
          <w:rFonts w:ascii="Arial" w:eastAsia="Calibri" w:hAnsi="Arial" w:cs="Arial"/>
          <w:bCs/>
        </w:rPr>
        <w:t>oficio</w:t>
      </w:r>
      <w:r>
        <w:rPr>
          <w:rFonts w:ascii="Arial" w:eastAsia="Calibri" w:hAnsi="Arial" w:cs="Arial"/>
          <w:bCs/>
        </w:rPr>
        <w:t xml:space="preserve"> </w:t>
      </w:r>
      <w:r w:rsidRPr="00A05C46">
        <w:rPr>
          <w:rFonts w:ascii="Arial" w:eastAsia="Calibri" w:hAnsi="Arial" w:cs="Arial"/>
          <w:bCs/>
        </w:rPr>
        <w:t xml:space="preserve">número </w:t>
      </w:r>
      <w:r w:rsidR="00735400" w:rsidRPr="0097428C">
        <w:rPr>
          <w:rFonts w:ascii="Arial" w:eastAsia="Calibri" w:hAnsi="Arial" w:cs="Arial"/>
          <w:bCs/>
        </w:rPr>
        <w:t>CDMX/SOBSE/SUT/3601/2021</w:t>
      </w:r>
      <w:r w:rsidR="00735400">
        <w:rPr>
          <w:rFonts w:ascii="Arial" w:eastAsia="Calibri" w:hAnsi="Arial" w:cs="Arial"/>
          <w:bCs/>
        </w:rPr>
        <w:t xml:space="preserve"> </w:t>
      </w:r>
      <w:r w:rsidR="00735400" w:rsidRPr="008B2066">
        <w:rPr>
          <w:rFonts w:ascii="Arial" w:eastAsia="Calibri" w:hAnsi="Arial" w:cs="Arial"/>
          <w:bCs/>
        </w:rPr>
        <w:t xml:space="preserve">de fecha </w:t>
      </w:r>
      <w:r w:rsidR="00735400">
        <w:rPr>
          <w:rFonts w:ascii="Arial" w:eastAsia="Calibri" w:hAnsi="Arial" w:cs="Arial"/>
          <w:bCs/>
        </w:rPr>
        <w:t>19 de octubre</w:t>
      </w:r>
      <w:r w:rsidR="00735400" w:rsidRPr="008B2066">
        <w:rPr>
          <w:rFonts w:ascii="Arial" w:eastAsia="Calibri" w:hAnsi="Arial" w:cs="Arial"/>
          <w:bCs/>
        </w:rPr>
        <w:t xml:space="preserve"> de 2021 emitido por</w:t>
      </w:r>
      <w:r w:rsidR="00735400">
        <w:rPr>
          <w:rFonts w:ascii="Arial" w:eastAsia="Calibri" w:hAnsi="Arial" w:cs="Arial"/>
          <w:bCs/>
        </w:rPr>
        <w:t xml:space="preserve"> la Subdirectora de su Unidad de Transparencia</w:t>
      </w:r>
      <w:r>
        <w:rPr>
          <w:rFonts w:ascii="Arial" w:hAnsi="Arial" w:cs="Arial"/>
          <w:bCs/>
        </w:rPr>
        <w:t>.</w:t>
      </w:r>
      <w:r w:rsidRPr="007B1A50">
        <w:rPr>
          <w:rFonts w:ascii="Arial" w:eastAsia="Calibri" w:hAnsi="Arial" w:cs="Arial"/>
          <w:bCs/>
        </w:rPr>
        <w:t xml:space="preserve"> </w:t>
      </w:r>
    </w:p>
    <w:p w14:paraId="7A1D0D53" w14:textId="77777777" w:rsidR="0097428C" w:rsidRPr="00CD6036" w:rsidRDefault="0097428C" w:rsidP="0097428C">
      <w:pPr>
        <w:pStyle w:val="NormalWeb"/>
        <w:spacing w:line="360" w:lineRule="auto"/>
        <w:jc w:val="both"/>
        <w:rPr>
          <w:rFonts w:ascii="Arial" w:eastAsia="Calibri" w:hAnsi="Arial" w:cs="Arial"/>
          <w:bCs/>
        </w:rPr>
      </w:pPr>
      <w:r w:rsidRPr="007B1A50">
        <w:rPr>
          <w:rFonts w:ascii="Arial" w:eastAsia="Calibri" w:hAnsi="Arial" w:cs="Arial"/>
          <w:bCs/>
        </w:rPr>
        <w:t>En su parte conducente, dicho oficio, señala lo siguiente</w:t>
      </w:r>
      <w:r>
        <w:rPr>
          <w:rFonts w:ascii="Arial" w:eastAsia="Calibri" w:hAnsi="Arial" w:cs="Arial"/>
          <w:bCs/>
        </w:rPr>
        <w:t>:</w:t>
      </w:r>
    </w:p>
    <w:p w14:paraId="3B34FF81" w14:textId="32E96B37" w:rsidR="00735400" w:rsidRPr="00735400" w:rsidRDefault="00735400" w:rsidP="00735400">
      <w:pPr>
        <w:ind w:left="567" w:right="567"/>
        <w:jc w:val="center"/>
        <w:outlineLvl w:val="0"/>
        <w:rPr>
          <w:rFonts w:ascii="Arial" w:eastAsia="Calibri" w:hAnsi="Arial" w:cs="Arial"/>
          <w:b/>
        </w:rPr>
      </w:pPr>
      <w:r w:rsidRPr="0097428C">
        <w:rPr>
          <w:rFonts w:ascii="Arial" w:eastAsia="Calibri" w:hAnsi="Arial" w:cs="Arial"/>
          <w:b/>
        </w:rPr>
        <w:t>CDMX/SOBSE/SUT/3601/2021</w:t>
      </w:r>
    </w:p>
    <w:p w14:paraId="16DCE27C" w14:textId="77777777" w:rsidR="00735400" w:rsidRDefault="00735400" w:rsidP="0097428C">
      <w:pPr>
        <w:ind w:left="567" w:right="567"/>
        <w:jc w:val="both"/>
        <w:outlineLvl w:val="0"/>
        <w:rPr>
          <w:rFonts w:ascii="Arial" w:eastAsia="Calibri" w:hAnsi="Arial" w:cs="Arial"/>
          <w:bCs/>
        </w:rPr>
      </w:pPr>
    </w:p>
    <w:p w14:paraId="3F29E7C6" w14:textId="7B3AB91F" w:rsidR="0097428C" w:rsidRDefault="0097428C" w:rsidP="0097428C">
      <w:pPr>
        <w:ind w:left="567" w:right="567"/>
        <w:jc w:val="both"/>
        <w:outlineLvl w:val="0"/>
        <w:rPr>
          <w:rFonts w:ascii="Arial" w:eastAsia="Calibri" w:hAnsi="Arial" w:cs="Arial"/>
          <w:bCs/>
          <w:i/>
          <w:sz w:val="20"/>
          <w:szCs w:val="20"/>
        </w:rPr>
      </w:pPr>
      <w:r w:rsidRPr="00FA358D">
        <w:rPr>
          <w:rFonts w:ascii="Arial" w:eastAsia="Calibri" w:hAnsi="Arial" w:cs="Arial"/>
          <w:bCs/>
          <w:i/>
          <w:sz w:val="20"/>
          <w:szCs w:val="20"/>
        </w:rPr>
        <w:t>“[…]</w:t>
      </w:r>
    </w:p>
    <w:p w14:paraId="45AD6801" w14:textId="674F6727" w:rsidR="0097428C" w:rsidRDefault="0097428C" w:rsidP="0097428C">
      <w:pPr>
        <w:ind w:left="567" w:right="567"/>
        <w:jc w:val="both"/>
        <w:outlineLvl w:val="0"/>
        <w:rPr>
          <w:rFonts w:ascii="Arial" w:eastAsia="Calibri" w:hAnsi="Arial" w:cs="Arial"/>
          <w:bCs/>
          <w:i/>
          <w:sz w:val="20"/>
          <w:szCs w:val="20"/>
        </w:rPr>
      </w:pPr>
    </w:p>
    <w:p w14:paraId="6C353E93" w14:textId="38187739" w:rsidR="00467215" w:rsidRDefault="00467215" w:rsidP="00467215">
      <w:pPr>
        <w:ind w:left="567" w:right="567"/>
        <w:jc w:val="center"/>
        <w:outlineLvl w:val="0"/>
        <w:rPr>
          <w:rFonts w:ascii="Arial" w:eastAsia="Calibri" w:hAnsi="Arial" w:cs="Arial"/>
          <w:bCs/>
          <w:i/>
          <w:sz w:val="20"/>
          <w:szCs w:val="20"/>
        </w:rPr>
      </w:pPr>
      <w:r>
        <w:rPr>
          <w:rFonts w:ascii="Arial" w:eastAsia="Calibri" w:hAnsi="Arial" w:cs="Arial"/>
          <w:bCs/>
          <w:i/>
          <w:noProof/>
          <w:sz w:val="20"/>
          <w:szCs w:val="20"/>
        </w:rPr>
        <w:drawing>
          <wp:inline distT="0" distB="0" distL="0" distR="0" wp14:anchorId="1DA2846D" wp14:editId="756C47BE">
            <wp:extent cx="4540440" cy="16568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7">
                      <a:extLst>
                        <a:ext uri="{28A0092B-C50C-407E-A947-70E740481C1C}">
                          <a14:useLocalDpi xmlns:a14="http://schemas.microsoft.com/office/drawing/2010/main" val="0"/>
                        </a:ext>
                      </a:extLst>
                    </a:blip>
                    <a:srcRect l="55672" t="62141" r="6441" b="15737"/>
                    <a:stretch/>
                  </pic:blipFill>
                  <pic:spPr bwMode="auto">
                    <a:xfrm>
                      <a:off x="0" y="0"/>
                      <a:ext cx="4569535" cy="1667478"/>
                    </a:xfrm>
                    <a:prstGeom prst="rect">
                      <a:avLst/>
                    </a:prstGeom>
                    <a:ln>
                      <a:noFill/>
                    </a:ln>
                    <a:extLst>
                      <a:ext uri="{53640926-AAD7-44D8-BBD7-CCE9431645EC}">
                        <a14:shadowObscured xmlns:a14="http://schemas.microsoft.com/office/drawing/2010/main"/>
                      </a:ext>
                    </a:extLst>
                  </pic:spPr>
                </pic:pic>
              </a:graphicData>
            </a:graphic>
          </wp:inline>
        </w:drawing>
      </w:r>
    </w:p>
    <w:p w14:paraId="287BB65F" w14:textId="1C0E6C76" w:rsidR="0097428C" w:rsidRDefault="00467215" w:rsidP="0097428C">
      <w:pPr>
        <w:jc w:val="center"/>
      </w:pPr>
      <w:r>
        <w:rPr>
          <w:noProof/>
        </w:rPr>
        <w:lastRenderedPageBreak/>
        <w:drawing>
          <wp:inline distT="0" distB="0" distL="0" distR="0" wp14:anchorId="35093C80" wp14:editId="236E7BA6">
            <wp:extent cx="4547479" cy="4355332"/>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8">
                      <a:extLst>
                        <a:ext uri="{28A0092B-C50C-407E-A947-70E740481C1C}">
                          <a14:useLocalDpi xmlns:a14="http://schemas.microsoft.com/office/drawing/2010/main" val="0"/>
                        </a:ext>
                      </a:extLst>
                    </a:blip>
                    <a:srcRect l="8769" t="24237" r="53488" b="17923"/>
                    <a:stretch/>
                  </pic:blipFill>
                  <pic:spPr bwMode="auto">
                    <a:xfrm>
                      <a:off x="0" y="0"/>
                      <a:ext cx="4558520" cy="4365906"/>
                    </a:xfrm>
                    <a:prstGeom prst="rect">
                      <a:avLst/>
                    </a:prstGeom>
                    <a:ln>
                      <a:noFill/>
                    </a:ln>
                    <a:extLst>
                      <a:ext uri="{53640926-AAD7-44D8-BBD7-CCE9431645EC}">
                        <a14:shadowObscured xmlns:a14="http://schemas.microsoft.com/office/drawing/2010/main"/>
                      </a:ext>
                    </a:extLst>
                  </pic:spPr>
                </pic:pic>
              </a:graphicData>
            </a:graphic>
          </wp:inline>
        </w:drawing>
      </w:r>
    </w:p>
    <w:p w14:paraId="7063A8FB" w14:textId="15C9739F" w:rsidR="00467215" w:rsidRDefault="00467215" w:rsidP="0097428C">
      <w:pPr>
        <w:jc w:val="center"/>
      </w:pPr>
      <w:r>
        <w:rPr>
          <w:noProof/>
        </w:rPr>
        <w:lastRenderedPageBreak/>
        <w:drawing>
          <wp:inline distT="0" distB="0" distL="0" distR="0" wp14:anchorId="52B0901C" wp14:editId="22C280C8">
            <wp:extent cx="4572000" cy="54157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8">
                      <a:extLst>
                        <a:ext uri="{28A0092B-C50C-407E-A947-70E740481C1C}">
                          <a14:useLocalDpi xmlns:a14="http://schemas.microsoft.com/office/drawing/2010/main" val="0"/>
                        </a:ext>
                      </a:extLst>
                    </a:blip>
                    <a:srcRect l="58861" t="24450" r="10174" b="16861"/>
                    <a:stretch/>
                  </pic:blipFill>
                  <pic:spPr bwMode="auto">
                    <a:xfrm>
                      <a:off x="0" y="0"/>
                      <a:ext cx="4584484" cy="5430550"/>
                    </a:xfrm>
                    <a:prstGeom prst="rect">
                      <a:avLst/>
                    </a:prstGeom>
                    <a:ln>
                      <a:noFill/>
                    </a:ln>
                    <a:extLst>
                      <a:ext uri="{53640926-AAD7-44D8-BBD7-CCE9431645EC}">
                        <a14:shadowObscured xmlns:a14="http://schemas.microsoft.com/office/drawing/2010/main"/>
                      </a:ext>
                    </a:extLst>
                  </pic:spPr>
                </pic:pic>
              </a:graphicData>
            </a:graphic>
          </wp:inline>
        </w:drawing>
      </w:r>
    </w:p>
    <w:p w14:paraId="6C6544F2" w14:textId="36542334" w:rsidR="00467215" w:rsidRDefault="00467215" w:rsidP="0097428C">
      <w:pPr>
        <w:jc w:val="center"/>
      </w:pPr>
      <w:r>
        <w:rPr>
          <w:noProof/>
        </w:rPr>
        <w:lastRenderedPageBreak/>
        <w:drawing>
          <wp:inline distT="0" distB="0" distL="0" distR="0" wp14:anchorId="422ED7CA" wp14:editId="73C96BE1">
            <wp:extent cx="4531849" cy="4548033"/>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9">
                      <a:extLst>
                        <a:ext uri="{28A0092B-C50C-407E-A947-70E740481C1C}">
                          <a14:useLocalDpi xmlns:a14="http://schemas.microsoft.com/office/drawing/2010/main" val="0"/>
                        </a:ext>
                      </a:extLst>
                    </a:blip>
                    <a:srcRect l="8769" t="25300" r="54024" b="14953"/>
                    <a:stretch/>
                  </pic:blipFill>
                  <pic:spPr bwMode="auto">
                    <a:xfrm>
                      <a:off x="0" y="0"/>
                      <a:ext cx="4543741" cy="4559968"/>
                    </a:xfrm>
                    <a:prstGeom prst="rect">
                      <a:avLst/>
                    </a:prstGeom>
                    <a:ln>
                      <a:noFill/>
                    </a:ln>
                    <a:extLst>
                      <a:ext uri="{53640926-AAD7-44D8-BBD7-CCE9431645EC}">
                        <a14:shadowObscured xmlns:a14="http://schemas.microsoft.com/office/drawing/2010/main"/>
                      </a:ext>
                    </a:extLst>
                  </pic:spPr>
                </pic:pic>
              </a:graphicData>
            </a:graphic>
          </wp:inline>
        </w:drawing>
      </w:r>
    </w:p>
    <w:p w14:paraId="54D765C5" w14:textId="7DDE28DA" w:rsidR="00467215" w:rsidRDefault="00467215" w:rsidP="0097428C">
      <w:pPr>
        <w:jc w:val="center"/>
      </w:pPr>
      <w:r>
        <w:rPr>
          <w:noProof/>
        </w:rPr>
        <w:lastRenderedPageBreak/>
        <w:drawing>
          <wp:inline distT="0" distB="0" distL="0" distR="0" wp14:anchorId="08668235" wp14:editId="013DE49E">
            <wp:extent cx="4540738" cy="4524463"/>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9">
                      <a:extLst>
                        <a:ext uri="{28A0092B-C50C-407E-A947-70E740481C1C}">
                          <a14:useLocalDpi xmlns:a14="http://schemas.microsoft.com/office/drawing/2010/main" val="0"/>
                        </a:ext>
                      </a:extLst>
                    </a:blip>
                    <a:srcRect l="55539" t="24450" r="7385" b="16438"/>
                    <a:stretch/>
                  </pic:blipFill>
                  <pic:spPr bwMode="auto">
                    <a:xfrm>
                      <a:off x="0" y="0"/>
                      <a:ext cx="4553494" cy="4537174"/>
                    </a:xfrm>
                    <a:prstGeom prst="rect">
                      <a:avLst/>
                    </a:prstGeom>
                    <a:ln>
                      <a:noFill/>
                    </a:ln>
                    <a:extLst>
                      <a:ext uri="{53640926-AAD7-44D8-BBD7-CCE9431645EC}">
                        <a14:shadowObscured xmlns:a14="http://schemas.microsoft.com/office/drawing/2010/main"/>
                      </a:ext>
                    </a:extLst>
                  </pic:spPr>
                </pic:pic>
              </a:graphicData>
            </a:graphic>
          </wp:inline>
        </w:drawing>
      </w:r>
    </w:p>
    <w:p w14:paraId="4ED2308D" w14:textId="449800B9" w:rsidR="00467215" w:rsidRDefault="00467215" w:rsidP="0097428C">
      <w:pPr>
        <w:jc w:val="center"/>
      </w:pPr>
      <w:r>
        <w:rPr>
          <w:noProof/>
        </w:rPr>
        <w:lastRenderedPageBreak/>
        <w:drawing>
          <wp:inline distT="0" distB="0" distL="0" distR="0" wp14:anchorId="276CAA3F" wp14:editId="46E025F1">
            <wp:extent cx="4540739" cy="4267007"/>
            <wp:effectExtent l="0" t="0" r="635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0">
                      <a:extLst>
                        <a:ext uri="{28A0092B-C50C-407E-A947-70E740481C1C}">
                          <a14:useLocalDpi xmlns:a14="http://schemas.microsoft.com/office/drawing/2010/main" val="0"/>
                        </a:ext>
                      </a:extLst>
                    </a:blip>
                    <a:srcRect l="8371" t="24237" r="54152" b="19411"/>
                    <a:stretch/>
                  </pic:blipFill>
                  <pic:spPr bwMode="auto">
                    <a:xfrm>
                      <a:off x="0" y="0"/>
                      <a:ext cx="4560790" cy="4285849"/>
                    </a:xfrm>
                    <a:prstGeom prst="rect">
                      <a:avLst/>
                    </a:prstGeom>
                    <a:ln>
                      <a:noFill/>
                    </a:ln>
                    <a:extLst>
                      <a:ext uri="{53640926-AAD7-44D8-BBD7-CCE9431645EC}">
                        <a14:shadowObscured xmlns:a14="http://schemas.microsoft.com/office/drawing/2010/main"/>
                      </a:ext>
                    </a:extLst>
                  </pic:spPr>
                </pic:pic>
              </a:graphicData>
            </a:graphic>
          </wp:inline>
        </w:drawing>
      </w:r>
    </w:p>
    <w:p w14:paraId="1660A508" w14:textId="5EC7A0A9" w:rsidR="00467215" w:rsidRPr="00FA358D" w:rsidRDefault="00467215" w:rsidP="0097428C">
      <w:pPr>
        <w:jc w:val="center"/>
      </w:pPr>
      <w:r>
        <w:rPr>
          <w:noProof/>
        </w:rPr>
        <w:drawing>
          <wp:inline distT="0" distB="0" distL="0" distR="0" wp14:anchorId="2B6B49A3" wp14:editId="055A2132">
            <wp:extent cx="4507230" cy="1031584"/>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0">
                      <a:extLst>
                        <a:ext uri="{28A0092B-C50C-407E-A947-70E740481C1C}">
                          <a14:useLocalDpi xmlns:a14="http://schemas.microsoft.com/office/drawing/2010/main" val="0"/>
                        </a:ext>
                      </a:extLst>
                    </a:blip>
                    <a:srcRect l="55407" t="24237" r="6851" b="61941"/>
                    <a:stretch/>
                  </pic:blipFill>
                  <pic:spPr bwMode="auto">
                    <a:xfrm>
                      <a:off x="0" y="0"/>
                      <a:ext cx="4584950" cy="1049372"/>
                    </a:xfrm>
                    <a:prstGeom prst="rect">
                      <a:avLst/>
                    </a:prstGeom>
                    <a:ln>
                      <a:noFill/>
                    </a:ln>
                    <a:extLst>
                      <a:ext uri="{53640926-AAD7-44D8-BBD7-CCE9431645EC}">
                        <a14:shadowObscured xmlns:a14="http://schemas.microsoft.com/office/drawing/2010/main"/>
                      </a:ext>
                    </a:extLst>
                  </pic:spPr>
                </pic:pic>
              </a:graphicData>
            </a:graphic>
          </wp:inline>
        </w:drawing>
      </w:r>
    </w:p>
    <w:p w14:paraId="2D102358" w14:textId="77777777" w:rsidR="0097428C" w:rsidRPr="00A310B3" w:rsidRDefault="0097428C" w:rsidP="0097428C">
      <w:pPr>
        <w:ind w:left="567" w:right="567"/>
        <w:jc w:val="both"/>
        <w:outlineLvl w:val="0"/>
        <w:rPr>
          <w:rFonts w:ascii="Arial" w:eastAsia="Calibri" w:hAnsi="Arial" w:cs="Arial"/>
          <w:bCs/>
          <w:i/>
          <w:sz w:val="20"/>
          <w:szCs w:val="20"/>
        </w:rPr>
      </w:pPr>
      <w:r w:rsidRPr="00FA358D">
        <w:rPr>
          <w:rFonts w:ascii="Arial" w:eastAsia="Calibri" w:hAnsi="Arial" w:cs="Arial"/>
          <w:bCs/>
          <w:i/>
          <w:sz w:val="20"/>
          <w:szCs w:val="20"/>
        </w:rPr>
        <w:t>[…]” [SIC]</w:t>
      </w:r>
    </w:p>
    <w:p w14:paraId="5F28AFB9" w14:textId="77777777" w:rsidR="0097428C" w:rsidRDefault="0097428C" w:rsidP="0097428C">
      <w:pPr>
        <w:spacing w:line="360" w:lineRule="auto"/>
        <w:jc w:val="both"/>
        <w:outlineLvl w:val="0"/>
        <w:rPr>
          <w:rFonts w:ascii="Arial" w:eastAsia="Calibri" w:hAnsi="Arial" w:cs="Arial"/>
          <w:b/>
          <w:bCs/>
        </w:rPr>
      </w:pPr>
    </w:p>
    <w:p w14:paraId="581884BB" w14:textId="77777777" w:rsidR="003020C8" w:rsidRDefault="003020C8" w:rsidP="0097428C">
      <w:pPr>
        <w:spacing w:line="360" w:lineRule="auto"/>
        <w:jc w:val="both"/>
        <w:outlineLvl w:val="0"/>
        <w:rPr>
          <w:rFonts w:ascii="Arial" w:eastAsia="Calibri" w:hAnsi="Arial" w:cs="Arial"/>
          <w:b/>
          <w:bCs/>
        </w:rPr>
      </w:pPr>
    </w:p>
    <w:p w14:paraId="4BCE1938" w14:textId="77777777" w:rsidR="003020C8" w:rsidRDefault="003020C8" w:rsidP="0097428C">
      <w:pPr>
        <w:spacing w:line="360" w:lineRule="auto"/>
        <w:jc w:val="both"/>
        <w:outlineLvl w:val="0"/>
        <w:rPr>
          <w:rFonts w:ascii="Arial" w:eastAsia="Calibri" w:hAnsi="Arial" w:cs="Arial"/>
          <w:b/>
          <w:bCs/>
        </w:rPr>
      </w:pPr>
    </w:p>
    <w:p w14:paraId="7059A04F" w14:textId="77777777" w:rsidR="003020C8" w:rsidRDefault="003020C8" w:rsidP="0097428C">
      <w:pPr>
        <w:spacing w:line="360" w:lineRule="auto"/>
        <w:jc w:val="both"/>
        <w:outlineLvl w:val="0"/>
        <w:rPr>
          <w:rFonts w:ascii="Arial" w:eastAsia="Calibri" w:hAnsi="Arial" w:cs="Arial"/>
          <w:b/>
          <w:bCs/>
        </w:rPr>
      </w:pPr>
    </w:p>
    <w:p w14:paraId="36EA345C" w14:textId="3CAA67B7" w:rsidR="0097428C" w:rsidRPr="00D65A20" w:rsidRDefault="0097428C" w:rsidP="0097428C">
      <w:pPr>
        <w:spacing w:line="360" w:lineRule="auto"/>
        <w:jc w:val="both"/>
        <w:outlineLvl w:val="0"/>
        <w:rPr>
          <w:rFonts w:ascii="Arial" w:eastAsia="Calibri" w:hAnsi="Arial" w:cs="Arial"/>
          <w:bCs/>
        </w:rPr>
      </w:pPr>
      <w:r w:rsidRPr="00D65A20">
        <w:rPr>
          <w:rFonts w:ascii="Arial" w:eastAsia="Calibri" w:hAnsi="Arial" w:cs="Arial"/>
          <w:b/>
          <w:bCs/>
        </w:rPr>
        <w:lastRenderedPageBreak/>
        <w:t xml:space="preserve">III. Recurso de Revisión (razones o motivos de inconformidad). </w:t>
      </w:r>
      <w:r>
        <w:rPr>
          <w:rFonts w:ascii="Arial" w:eastAsia="Calibri" w:hAnsi="Arial" w:cs="Arial"/>
          <w:bCs/>
        </w:rPr>
        <w:t>I</w:t>
      </w:r>
      <w:r w:rsidRPr="00BE42C4">
        <w:rPr>
          <w:rFonts w:ascii="Arial" w:eastAsia="Calibri" w:hAnsi="Arial" w:cs="Arial"/>
          <w:bCs/>
        </w:rPr>
        <w:t>nconforme con la respuesta proporcion</w:t>
      </w:r>
      <w:r w:rsidRPr="00D65A20">
        <w:rPr>
          <w:rFonts w:ascii="Arial" w:eastAsia="Calibri" w:hAnsi="Arial" w:cs="Arial"/>
          <w:bCs/>
        </w:rPr>
        <w:t>ada por el sujeto obligado,</w:t>
      </w:r>
      <w:r>
        <w:rPr>
          <w:rFonts w:ascii="Arial" w:eastAsia="Calibri" w:hAnsi="Arial" w:cs="Arial"/>
          <w:bCs/>
        </w:rPr>
        <w:t xml:space="preserve"> </w:t>
      </w:r>
      <w:r w:rsidRPr="00BE42C4">
        <w:rPr>
          <w:rFonts w:ascii="Arial" w:eastAsia="Calibri" w:hAnsi="Arial" w:cs="Arial"/>
          <w:bCs/>
        </w:rPr>
        <w:t xml:space="preserve">la persona recurrente </w:t>
      </w:r>
      <w:r>
        <w:rPr>
          <w:rFonts w:ascii="Arial" w:eastAsia="Calibri" w:hAnsi="Arial" w:cs="Arial"/>
          <w:bCs/>
        </w:rPr>
        <w:t xml:space="preserve">con fecha </w:t>
      </w:r>
      <w:r w:rsidR="00BB36AD">
        <w:rPr>
          <w:rFonts w:ascii="Arial" w:eastAsia="Calibri" w:hAnsi="Arial" w:cs="Arial"/>
          <w:bCs/>
        </w:rPr>
        <w:t>8</w:t>
      </w:r>
      <w:r>
        <w:rPr>
          <w:rFonts w:ascii="Arial" w:eastAsia="Calibri" w:hAnsi="Arial" w:cs="Arial"/>
          <w:bCs/>
        </w:rPr>
        <w:t xml:space="preserve"> de noviembre</w:t>
      </w:r>
      <w:r w:rsidRPr="00BE42C4">
        <w:rPr>
          <w:rFonts w:ascii="Arial" w:eastAsia="Calibri" w:hAnsi="Arial" w:cs="Arial"/>
          <w:bCs/>
        </w:rPr>
        <w:t xml:space="preserve"> de 2021</w:t>
      </w:r>
      <w:r>
        <w:rPr>
          <w:rStyle w:val="Refdenotaalpie"/>
          <w:rFonts w:ascii="Arial" w:eastAsia="Calibri" w:hAnsi="Arial" w:cs="Arial"/>
          <w:bCs/>
        </w:rPr>
        <w:footnoteReference w:id="2"/>
      </w:r>
      <w:r w:rsidRPr="00BE42C4">
        <w:rPr>
          <w:rFonts w:ascii="Arial" w:eastAsia="Calibri" w:hAnsi="Arial" w:cs="Arial"/>
          <w:bCs/>
        </w:rPr>
        <w:t xml:space="preserve"> </w:t>
      </w:r>
      <w:r w:rsidRPr="00D65A20">
        <w:rPr>
          <w:rFonts w:ascii="Arial" w:eastAsia="Calibri" w:hAnsi="Arial" w:cs="Arial"/>
          <w:bCs/>
        </w:rPr>
        <w:t>inter</w:t>
      </w:r>
      <w:r>
        <w:rPr>
          <w:rFonts w:ascii="Arial" w:eastAsia="Calibri" w:hAnsi="Arial" w:cs="Arial"/>
          <w:bCs/>
        </w:rPr>
        <w:t>puso el</w:t>
      </w:r>
      <w:r w:rsidRPr="00D65A20">
        <w:rPr>
          <w:rFonts w:ascii="Arial" w:eastAsia="Calibri" w:hAnsi="Arial" w:cs="Arial"/>
          <w:bCs/>
        </w:rPr>
        <w:t xml:space="preserve"> recurso de revisión </w:t>
      </w:r>
      <w:r>
        <w:rPr>
          <w:rFonts w:ascii="Arial" w:eastAsia="Calibri" w:hAnsi="Arial" w:cs="Arial"/>
          <w:bCs/>
        </w:rPr>
        <w:t xml:space="preserve">que nos atiende, y </w:t>
      </w:r>
      <w:r w:rsidRPr="00D65A20">
        <w:rPr>
          <w:rFonts w:ascii="Arial" w:eastAsia="Calibri" w:hAnsi="Arial" w:cs="Arial"/>
          <w:bCs/>
        </w:rPr>
        <w:t>en el que señaló lo siguiente:</w:t>
      </w:r>
    </w:p>
    <w:p w14:paraId="64A38504" w14:textId="2ACC0879" w:rsidR="00BB36AD" w:rsidRDefault="0097428C" w:rsidP="00BB36AD">
      <w:pPr>
        <w:ind w:left="567" w:right="567"/>
        <w:jc w:val="both"/>
        <w:rPr>
          <w:rFonts w:ascii="Arial" w:eastAsia="Calibri" w:hAnsi="Arial" w:cs="Arial"/>
          <w:bCs/>
          <w:i/>
          <w:sz w:val="20"/>
          <w:szCs w:val="20"/>
        </w:rPr>
      </w:pPr>
      <w:r w:rsidRPr="00CE6EB9">
        <w:rPr>
          <w:rFonts w:ascii="Arial" w:eastAsia="Calibri" w:hAnsi="Arial" w:cs="Arial"/>
          <w:bCs/>
          <w:i/>
          <w:sz w:val="20"/>
          <w:szCs w:val="20"/>
        </w:rPr>
        <w:t>“</w:t>
      </w:r>
      <w:r w:rsidR="00BB36AD">
        <w:rPr>
          <w:rFonts w:ascii="Arial" w:eastAsia="Calibri" w:hAnsi="Arial" w:cs="Arial"/>
          <w:bCs/>
          <w:i/>
          <w:sz w:val="20"/>
          <w:szCs w:val="20"/>
        </w:rPr>
        <w:t>...</w:t>
      </w:r>
    </w:p>
    <w:p w14:paraId="706DD302" w14:textId="4044F7C0" w:rsidR="00BB36AD" w:rsidRDefault="00BB36AD" w:rsidP="00BB36AD">
      <w:pPr>
        <w:ind w:left="567" w:right="567"/>
        <w:jc w:val="both"/>
        <w:rPr>
          <w:rFonts w:ascii="Arial" w:eastAsia="Calibri" w:hAnsi="Arial" w:cs="Arial"/>
          <w:bCs/>
          <w:i/>
          <w:sz w:val="20"/>
          <w:szCs w:val="20"/>
        </w:rPr>
      </w:pPr>
    </w:p>
    <w:p w14:paraId="50ADA0E8" w14:textId="033D91B5" w:rsidR="00BB36AD" w:rsidRDefault="00BB36AD" w:rsidP="00BB36AD">
      <w:pPr>
        <w:ind w:left="567" w:right="567"/>
        <w:jc w:val="center"/>
        <w:rPr>
          <w:rFonts w:ascii="Arial" w:eastAsia="Calibri" w:hAnsi="Arial" w:cs="Arial"/>
          <w:bCs/>
          <w:i/>
          <w:sz w:val="20"/>
          <w:szCs w:val="20"/>
        </w:rPr>
      </w:pPr>
      <w:r w:rsidRPr="00BB36AD">
        <w:rPr>
          <w:rFonts w:ascii="Arial" w:eastAsia="Calibri" w:hAnsi="Arial" w:cs="Arial"/>
          <w:bCs/>
          <w:i/>
          <w:sz w:val="20"/>
          <w:szCs w:val="20"/>
        </w:rPr>
        <w:t>AGRAVIOS</w:t>
      </w:r>
    </w:p>
    <w:p w14:paraId="6C0B86F9" w14:textId="77777777" w:rsidR="00BB36AD" w:rsidRPr="00BB36AD" w:rsidRDefault="00BB36AD" w:rsidP="00BB36AD">
      <w:pPr>
        <w:ind w:left="567" w:right="567"/>
        <w:jc w:val="both"/>
        <w:rPr>
          <w:rFonts w:ascii="Arial" w:eastAsia="Calibri" w:hAnsi="Arial" w:cs="Arial"/>
          <w:bCs/>
          <w:i/>
          <w:sz w:val="20"/>
          <w:szCs w:val="20"/>
        </w:rPr>
      </w:pPr>
    </w:p>
    <w:p w14:paraId="3002BD5F" w14:textId="1145DD79"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
          <w:i/>
          <w:sz w:val="20"/>
          <w:szCs w:val="20"/>
        </w:rPr>
        <w:t>Primer Agravio.-</w:t>
      </w:r>
      <w:r w:rsidRPr="00BB36AD">
        <w:rPr>
          <w:rFonts w:ascii="Arial" w:eastAsia="Calibri" w:hAnsi="Arial" w:cs="Arial"/>
          <w:bCs/>
          <w:i/>
          <w:sz w:val="20"/>
          <w:szCs w:val="20"/>
        </w:rPr>
        <w:t> Existe, para el caso de la solicitud de información registrada bajo este folio, una FALTA DE RESPUESTA; ello, dado que la respuesta del sujeto obligado NO fue entregada una vez que concluyó el plazo que contempla la ley. Por ello, se entra en los supuestos comprendidos en el Artículo 234, Fracc. VI de la Ley de Transparencia, Acceso a la Información Pública y Rendición de Cuentas de la Ciudad de México (LTAIPRC, en adelante), la cual indica que:</w:t>
      </w:r>
    </w:p>
    <w:p w14:paraId="404E1B70" w14:textId="77777777" w:rsidR="00BB36AD" w:rsidRPr="00BB36AD" w:rsidRDefault="00BB36AD" w:rsidP="00BB36AD">
      <w:pPr>
        <w:ind w:left="567" w:right="567"/>
        <w:jc w:val="both"/>
        <w:rPr>
          <w:rFonts w:ascii="Arial" w:eastAsia="Calibri" w:hAnsi="Arial" w:cs="Arial"/>
          <w:bCs/>
          <w:i/>
          <w:sz w:val="20"/>
          <w:szCs w:val="20"/>
        </w:rPr>
      </w:pPr>
    </w:p>
    <w:p w14:paraId="71550840" w14:textId="1B5B61D1" w:rsidR="00BB36AD" w:rsidRDefault="007E749A" w:rsidP="00BB36AD">
      <w:pPr>
        <w:ind w:left="567" w:right="567"/>
        <w:jc w:val="both"/>
        <w:rPr>
          <w:rFonts w:ascii="Arial" w:eastAsia="Calibri" w:hAnsi="Arial" w:cs="Arial"/>
          <w:bCs/>
          <w:i/>
          <w:sz w:val="20"/>
          <w:szCs w:val="20"/>
        </w:rPr>
      </w:pPr>
      <w:r>
        <w:rPr>
          <w:rFonts w:ascii="Arial" w:eastAsia="Calibri" w:hAnsi="Arial" w:cs="Arial"/>
          <w:bCs/>
          <w:i/>
          <w:sz w:val="20"/>
          <w:szCs w:val="20"/>
        </w:rPr>
        <w:t>...</w:t>
      </w:r>
    </w:p>
    <w:p w14:paraId="1BC43D62" w14:textId="77777777" w:rsidR="007E749A" w:rsidRPr="00BB36AD" w:rsidRDefault="007E749A" w:rsidP="00BB36AD">
      <w:pPr>
        <w:ind w:left="567" w:right="567"/>
        <w:jc w:val="both"/>
        <w:rPr>
          <w:rFonts w:ascii="Arial" w:eastAsia="Calibri" w:hAnsi="Arial" w:cs="Arial"/>
          <w:bCs/>
          <w:i/>
          <w:sz w:val="20"/>
          <w:szCs w:val="20"/>
        </w:rPr>
      </w:pPr>
    </w:p>
    <w:p w14:paraId="662A752F" w14:textId="5273A3C1"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En este mismo ámbito, acredito que la Solicitud de Información Pública 0107000176320 cae dentro de los supuestos contemplados en el Artículo 235 de la LTAIPRC, la cual establece que</w:t>
      </w:r>
    </w:p>
    <w:p w14:paraId="395E0412" w14:textId="77777777" w:rsidR="007E749A" w:rsidRPr="00BB36AD" w:rsidRDefault="007E749A" w:rsidP="00BB36AD">
      <w:pPr>
        <w:ind w:left="567" w:right="567"/>
        <w:jc w:val="both"/>
        <w:rPr>
          <w:rFonts w:ascii="Arial" w:eastAsia="Calibri" w:hAnsi="Arial" w:cs="Arial"/>
          <w:bCs/>
          <w:i/>
          <w:sz w:val="20"/>
          <w:szCs w:val="20"/>
        </w:rPr>
      </w:pPr>
    </w:p>
    <w:p w14:paraId="452E57AC" w14:textId="3505E9F5" w:rsidR="00BB36AD" w:rsidRPr="00BB36AD" w:rsidRDefault="007E749A" w:rsidP="00BB36AD">
      <w:pPr>
        <w:ind w:left="567" w:right="567"/>
        <w:jc w:val="both"/>
        <w:rPr>
          <w:rFonts w:ascii="Arial" w:eastAsia="Calibri" w:hAnsi="Arial" w:cs="Arial"/>
          <w:bCs/>
          <w:i/>
          <w:sz w:val="20"/>
          <w:szCs w:val="20"/>
        </w:rPr>
      </w:pPr>
      <w:r>
        <w:rPr>
          <w:rFonts w:ascii="Arial" w:eastAsia="Calibri" w:hAnsi="Arial" w:cs="Arial"/>
          <w:bCs/>
          <w:i/>
          <w:sz w:val="20"/>
          <w:szCs w:val="20"/>
        </w:rPr>
        <w:t>...</w:t>
      </w:r>
    </w:p>
    <w:p w14:paraId="1DE640DF" w14:textId="77777777" w:rsidR="00BB36AD" w:rsidRP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 </w:t>
      </w:r>
    </w:p>
    <w:p w14:paraId="25536742" w14:textId="3EED2702"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El mencionado hecho es doblemente agraviante, pues el sujeto obligado Secretaría de Obras y Servicios utilizar indebidamente el Artículo 212 de la mencionada Ley, para retrasar injustificadamente aún más la respuesta a mi solicitud, “atendiendo a la naturaleza, complejidad y volumen de la información solicitada”, la cual es un simple Manual Administrativo que debería ser incluso publicado como parte de las obligaciones de transparencia comunes, contempladas en el Art. 121 Fracc. I.</w:t>
      </w:r>
    </w:p>
    <w:p w14:paraId="2AFE4AC0" w14:textId="77777777" w:rsidR="007E749A" w:rsidRPr="00BB36AD" w:rsidRDefault="007E749A" w:rsidP="00BB36AD">
      <w:pPr>
        <w:ind w:left="567" w:right="567"/>
        <w:jc w:val="both"/>
        <w:rPr>
          <w:rFonts w:ascii="Arial" w:eastAsia="Calibri" w:hAnsi="Arial" w:cs="Arial"/>
          <w:bCs/>
          <w:i/>
          <w:sz w:val="20"/>
          <w:szCs w:val="20"/>
        </w:rPr>
      </w:pPr>
    </w:p>
    <w:p w14:paraId="0BAD03F4" w14:textId="56E200AC" w:rsidR="00BB36AD" w:rsidRPr="00BB36AD" w:rsidRDefault="00BB36AD" w:rsidP="00BB36AD">
      <w:pPr>
        <w:ind w:left="567" w:right="567"/>
        <w:jc w:val="both"/>
        <w:rPr>
          <w:rFonts w:ascii="Arial" w:eastAsia="Calibri" w:hAnsi="Arial" w:cs="Arial"/>
          <w:bCs/>
          <w:i/>
          <w:sz w:val="20"/>
          <w:szCs w:val="20"/>
        </w:rPr>
      </w:pPr>
      <w:r w:rsidRPr="007E749A">
        <w:rPr>
          <w:rFonts w:ascii="Arial" w:eastAsia="Calibri" w:hAnsi="Arial" w:cs="Arial"/>
          <w:b/>
          <w:i/>
          <w:sz w:val="20"/>
          <w:szCs w:val="20"/>
        </w:rPr>
        <w:t>Segundo Agravio.-</w:t>
      </w:r>
      <w:r w:rsidRPr="00BB36AD">
        <w:rPr>
          <w:rFonts w:ascii="Arial" w:eastAsia="Calibri" w:hAnsi="Arial" w:cs="Arial"/>
          <w:bCs/>
          <w:i/>
          <w:sz w:val="20"/>
          <w:szCs w:val="20"/>
        </w:rPr>
        <w:t> Adicionalmente a la falta de respuesta, el sujeto obligado incurre en agravios adicionales. El primero de ellos es relativo a lo que se contempla en la Fracc. III del Artículo 234 de la Ley de Transparencia, Acceso a la Información Pública, Protección de Datos Personales y Rendición de Cuentas de la Ciudad de México. El sujeto obligado Secretaría de Obras y Servicios se declara incompetente para entregar la información solicitada,</w:t>
      </w:r>
      <w:r w:rsidR="007E749A">
        <w:rPr>
          <w:rFonts w:ascii="Arial" w:eastAsia="Calibri" w:hAnsi="Arial" w:cs="Arial"/>
          <w:bCs/>
          <w:i/>
          <w:sz w:val="20"/>
          <w:szCs w:val="20"/>
        </w:rPr>
        <w:t xml:space="preserve"> </w:t>
      </w:r>
      <w:r w:rsidRPr="00BB36AD">
        <w:rPr>
          <w:rFonts w:ascii="Arial" w:eastAsia="Calibri" w:hAnsi="Arial" w:cs="Arial"/>
          <w:bCs/>
          <w:i/>
          <w:sz w:val="20"/>
          <w:szCs w:val="20"/>
        </w:rPr>
        <w:t xml:space="preserve">el Manual de Funcionamiento de la Comisión de Admisión de Directores Responsables de Obra y Corresponsables, arguyendo para ello lo contenido en el artículo </w:t>
      </w:r>
      <w:r w:rsidRPr="00BB36AD">
        <w:rPr>
          <w:rFonts w:ascii="Arial" w:eastAsia="Calibri" w:hAnsi="Arial" w:cs="Arial"/>
          <w:bCs/>
          <w:i/>
          <w:sz w:val="20"/>
          <w:szCs w:val="20"/>
        </w:rPr>
        <w:lastRenderedPageBreak/>
        <w:t>38 de la Ley Orgánica del Poder Ejecutivo y de la Administración Pública de la Ciudad de México.</w:t>
      </w:r>
    </w:p>
    <w:p w14:paraId="077D6B3B" w14:textId="37409922"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En este tenor, expreso al Órgano Garante que la Secretaría de Obras y Servicios se rige no solamente por lo expresado en la Ley Orgánica del Poder Ejecutivo y de la Administración Pública de la Ciudad de México, sino también por un conjunto de disposiciones diversas, que están disponibles al ciudadano común en su propia página de normatividad (</w:t>
      </w:r>
      <w:hyperlink r:id="rId11" w:tgtFrame="_blank" w:history="1">
        <w:r w:rsidRPr="00BB36AD">
          <w:rPr>
            <w:rFonts w:ascii="Arial" w:eastAsia="Calibri" w:hAnsi="Arial" w:cs="Arial"/>
            <w:bCs/>
            <w:i/>
            <w:sz w:val="20"/>
            <w:szCs w:val="20"/>
          </w:rPr>
          <w:t>https://www.obras.cdmx.gob.mx/secretaria/marco-normativo</w:t>
        </w:r>
      </w:hyperlink>
      <w:r w:rsidRPr="00BB36AD">
        <w:rPr>
          <w:rFonts w:ascii="Arial" w:eastAsia="Calibri" w:hAnsi="Arial" w:cs="Arial"/>
          <w:bCs/>
          <w:i/>
          <w:sz w:val="20"/>
          <w:szCs w:val="20"/>
        </w:rPr>
        <w:t>). Incluso el propio Art. 38 de la Ley Orgánica del Poder Ejecutivo y de la Administración Pública de la Ciudad de México que cita el sujeto obligado, menciona en su fracción XI lo siguiente:</w:t>
      </w:r>
    </w:p>
    <w:p w14:paraId="443F6E3D" w14:textId="77777777" w:rsidR="007E749A" w:rsidRPr="00BB36AD" w:rsidRDefault="007E749A" w:rsidP="00BB36AD">
      <w:pPr>
        <w:ind w:left="567" w:right="567"/>
        <w:jc w:val="both"/>
        <w:rPr>
          <w:rFonts w:ascii="Arial" w:eastAsia="Calibri" w:hAnsi="Arial" w:cs="Arial"/>
          <w:bCs/>
          <w:i/>
          <w:sz w:val="20"/>
          <w:szCs w:val="20"/>
        </w:rPr>
      </w:pPr>
    </w:p>
    <w:p w14:paraId="718763C3" w14:textId="5074FF8A"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XI. Las demás que le atribuyan las leyes y otros ordenamientos jurídicos.”</w:t>
      </w:r>
    </w:p>
    <w:p w14:paraId="337C21C2" w14:textId="77777777" w:rsidR="007E749A" w:rsidRPr="00BB36AD" w:rsidRDefault="007E749A" w:rsidP="00BB36AD">
      <w:pPr>
        <w:ind w:left="567" w:right="567"/>
        <w:jc w:val="both"/>
        <w:rPr>
          <w:rFonts w:ascii="Arial" w:eastAsia="Calibri" w:hAnsi="Arial" w:cs="Arial"/>
          <w:bCs/>
          <w:i/>
          <w:sz w:val="20"/>
          <w:szCs w:val="20"/>
        </w:rPr>
      </w:pPr>
    </w:p>
    <w:p w14:paraId="720B2BEB" w14:textId="5ABD1186"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Entre los otros ordenamientos jurídicos a los que se refiere el Art. 38 Fracc XI de la Ley Orgánica del Poder Ejecutivo y de la Administración Pública de la Ciudad de México, se cuenta el Reglamento de Construcciones para el Distrito Federal, cuyo artículo 44 establece lo siguiente:</w:t>
      </w:r>
    </w:p>
    <w:p w14:paraId="5EFE3ED3" w14:textId="77777777" w:rsidR="007E749A" w:rsidRPr="00BB36AD" w:rsidRDefault="007E749A" w:rsidP="00BB36AD">
      <w:pPr>
        <w:ind w:left="567" w:right="567"/>
        <w:jc w:val="both"/>
        <w:rPr>
          <w:rFonts w:ascii="Arial" w:eastAsia="Calibri" w:hAnsi="Arial" w:cs="Arial"/>
          <w:bCs/>
          <w:i/>
          <w:sz w:val="20"/>
          <w:szCs w:val="20"/>
        </w:rPr>
      </w:pPr>
    </w:p>
    <w:p w14:paraId="31A0CEC8" w14:textId="22561899"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ARTÍCULO 44.- La Comisión [de Admisión de Directores Responsables de Obra y Corresponsables] se integra por:</w:t>
      </w:r>
    </w:p>
    <w:p w14:paraId="5BFA7408" w14:textId="77777777" w:rsidR="007E749A" w:rsidRPr="00BB36AD" w:rsidRDefault="007E749A" w:rsidP="00BB36AD">
      <w:pPr>
        <w:ind w:left="567" w:right="567"/>
        <w:jc w:val="both"/>
        <w:rPr>
          <w:rFonts w:ascii="Arial" w:eastAsia="Calibri" w:hAnsi="Arial" w:cs="Arial"/>
          <w:bCs/>
          <w:i/>
          <w:sz w:val="20"/>
          <w:szCs w:val="20"/>
        </w:rPr>
      </w:pPr>
    </w:p>
    <w:p w14:paraId="0129A49A" w14:textId="765279E3"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I. El Secretario de Obras y Servicios, quien la presidirá, el Secretario de Desarrollo Urbano y Vivienda y el Director General del Instituto fungirán como Secretarios Técnicos para presentar los casos que les correspondan en el ámbito de su competencia</w:t>
      </w:r>
    </w:p>
    <w:p w14:paraId="551AE9C8" w14:textId="77777777" w:rsidR="007E749A" w:rsidRPr="00BB36AD" w:rsidRDefault="007E749A" w:rsidP="00BB36AD">
      <w:pPr>
        <w:ind w:left="567" w:right="567"/>
        <w:jc w:val="both"/>
        <w:rPr>
          <w:rFonts w:ascii="Arial" w:eastAsia="Calibri" w:hAnsi="Arial" w:cs="Arial"/>
          <w:bCs/>
          <w:i/>
          <w:sz w:val="20"/>
          <w:szCs w:val="20"/>
        </w:rPr>
      </w:pPr>
    </w:p>
    <w:p w14:paraId="359C6889" w14:textId="3AAEDC57" w:rsidR="00BB36AD" w:rsidRP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Dado este fundamento, resulta notorio que el Sujeto Obligado Secretaría de Obras y Servicios arguya en su respuesta que la presidencia de la Comisión de Admisión de Directores Responsables de Obra y Corresponsables no se encuentra dentro de sus facultades o atribuciones. Más aún, no es creíble el argumento de que en los archivos de la Secretaría de Obras y Servicios no consta el Manual de Funcionamiento de la Comisión de Admisión de Directores Responsables de Obra y Corresponsables, si existe evidencia pública de que el Lic. Mario Dubón Peniche, Director General de Servicios Técnicos de la Secretaría de Obras y Servicios, es de hecho el Presidente Suplente de la Comisión de Admisión de Directores Responsables de Obra y Corresponsables, como se muestra en la página 3 de la presentación denominada Comisión de Admisión de Directores Responsables de Obra y Corresponsables “CADROC” con los logotipos del Colegio de Arquitectos de la Ciudad de México, la Sociedad de Arquitectos Mexicanos, la Asociación Arquitectos Directores Responsables de Obra, Corresponsables y Peritos en Desarrollo Urbano (ADOC, A.C.) y el Gobierno de la Ciudad de México, que se adjuntan:</w:t>
      </w:r>
    </w:p>
    <w:p w14:paraId="4C631946" w14:textId="77777777" w:rsidR="00BB36AD" w:rsidRPr="00BB36AD" w:rsidRDefault="00BB36AD" w:rsidP="00BB36AD">
      <w:pPr>
        <w:ind w:left="567" w:right="567"/>
        <w:jc w:val="both"/>
        <w:rPr>
          <w:rFonts w:ascii="Arial" w:eastAsia="Calibri" w:hAnsi="Arial" w:cs="Arial"/>
          <w:bCs/>
          <w:i/>
          <w:sz w:val="20"/>
          <w:szCs w:val="20"/>
        </w:rPr>
      </w:pPr>
    </w:p>
    <w:p w14:paraId="10CD7F01" w14:textId="6147C7F3" w:rsid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 xml:space="preserve">Ante esta evidencia, claramente la respuesta del Sujeto Obligado no cumple con los principios de certeza, eficacia, imparcialidad, independencia, legalidad, máxima publicidad, objetividad, profesionalismo y transparencia, a los cuales está obligado de acuerdo con el Artículo 11 de la Ley de Transparencia, Acceso a la Información Pública y Rendición de Cuentas de la Ciudad de México. Por el contrario, envía una extensa respuesta de su supuesta incompetencia, utilizando un argumento falaz a partir de una argumentación incompleta de sus facultades o atribuciones. Esta argumentación, larga y oscura, pretende </w:t>
      </w:r>
      <w:r w:rsidRPr="00BB36AD">
        <w:rPr>
          <w:rFonts w:ascii="Arial" w:eastAsia="Calibri" w:hAnsi="Arial" w:cs="Arial"/>
          <w:bCs/>
          <w:i/>
          <w:sz w:val="20"/>
          <w:szCs w:val="20"/>
        </w:rPr>
        <w:lastRenderedPageBreak/>
        <w:t>evadir su responsabilidad de entregar la información. El agravio aquí fundamentado muestra una falta de voluntad del sujeto obligado de entregar la información que sí está dentro de sus facultades y atribuciones, como lo señala el Reglamento de Construcciones para el Distrito Federal vigente (el cual forma parte de las disposiciones normativas y ordenamientos jurídicos a los que responde la Secretaría de Obras y Servicios, de acuerdo con lo que establece el Art. 38 Fracc. XI de la Ley Orgánica del Poder Ejecutivo y de la Administración Pública de la Ciudad de México), con el propósito de no entregarla o evadir la declaración de su inexistencia.</w:t>
      </w:r>
    </w:p>
    <w:p w14:paraId="19CEA705" w14:textId="77777777" w:rsidR="007E749A" w:rsidRPr="00BB36AD" w:rsidRDefault="007E749A" w:rsidP="00BB36AD">
      <w:pPr>
        <w:ind w:left="567" w:right="567"/>
        <w:jc w:val="both"/>
        <w:rPr>
          <w:rFonts w:ascii="Arial" w:eastAsia="Calibri" w:hAnsi="Arial" w:cs="Arial"/>
          <w:bCs/>
          <w:i/>
          <w:sz w:val="20"/>
          <w:szCs w:val="20"/>
        </w:rPr>
      </w:pPr>
    </w:p>
    <w:p w14:paraId="368E0468" w14:textId="77777777" w:rsidR="00BB36AD" w:rsidRP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El sujeto obligado Secretaría de Obras y Servicios es reticente a señalar la inexistencia de la información debido a que pondría de manifiesto la opacidad absoluta con la que, de hecho, opera la Comisión de Admisión de Directores Responsables de Obra y Corresponsables, que regula las obligaciones y desempeño profesional de los auxiliares de la administración pública de la Ciudad de México. La declaración de inexistencia de este Manual de Funcionamiento también pondría de manifiesto el incumplimiento de la Secretaría de Obras y Servicios de emitir la normatividad administrativa a la que está obligada, de acuerdo al Transitorio Sexto del Decreto publicado en la Gaceta Oficial de la Ciudad de México del 2 de abril del 2019, por el que se reforman, adicionan y derogan diversas disposiciones del Reglamento de Construcciones para el Distrito Federal.</w:t>
      </w:r>
    </w:p>
    <w:p w14:paraId="014BE8B8" w14:textId="77777777" w:rsidR="00BB36AD" w:rsidRP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 </w:t>
      </w:r>
    </w:p>
    <w:p w14:paraId="582B93A3" w14:textId="77777777" w:rsidR="00BB36AD" w:rsidRPr="00BB36AD" w:rsidRDefault="00BB36AD" w:rsidP="00BB36AD">
      <w:pPr>
        <w:ind w:left="567" w:right="567"/>
        <w:jc w:val="both"/>
        <w:rPr>
          <w:rFonts w:ascii="Arial" w:eastAsia="Calibri" w:hAnsi="Arial" w:cs="Arial"/>
          <w:bCs/>
          <w:i/>
          <w:sz w:val="20"/>
          <w:szCs w:val="20"/>
        </w:rPr>
      </w:pPr>
      <w:r w:rsidRPr="00BB36AD">
        <w:rPr>
          <w:rFonts w:ascii="Arial" w:eastAsia="Calibri" w:hAnsi="Arial" w:cs="Arial"/>
          <w:bCs/>
          <w:i/>
          <w:sz w:val="20"/>
          <w:szCs w:val="20"/>
        </w:rPr>
        <w:t>Tercer Agravio.- Aunque la serie de Acuerdos emitidas por el órgano garante relativas a la suspensión de plazos y términos es legal, no omito señalar que ello ha limitado mi derecho y el de muchos ciudadanos al acceso a la información, de manera harto evidente. La información solicitada al Sujeto Obligado Secretaría de Obras y Servicios fue ingresada al sistema INFOMEX el día 10 de noviembre de 2020. A la fecha de este recurso de revisión, han transcurrido 361 días naturales. Solicité al Sujeto Obligado un Manual Administrativo, información básica que debería ser incluso publicado como parte de las obligaciones de transparencia comunes, contempladas en el Art. 121 Fracc. I, que no está publicado en su página web. Y a pesar de lo sencillo y obligatorio de la información solicitada, la respuesta del Sujeto Obligado, después de casi un año, fue pedir una ampliación de plazo. Y aún transcurrido ello, todavía me obliga a combatir su forma y fondo, alargando de manera absurda e innecesaria la ya lamentable vulneración al derecho de acceso a la información que se ha avalado a través de los Acuerdos del Pleno del Instituto de Transparencia, Acceso a la Información Pública, Protección de Datos Personales, y Rendición de Cuentas de la Ciudad de México. Ello contrasta con otras posibilidades de respuesta perfectamente realistas en contexto de pandemia, ya que se podría 1) haber enviado la información vía electrónica, si existiera, dada su naturaleza de obligación de transparencia común; 2) declarado la inexistencia de la información. Ello pudo haber ocurrido en un plazo razonable de días o semanas.</w:t>
      </w:r>
    </w:p>
    <w:p w14:paraId="3740496A" w14:textId="652DC125" w:rsidR="0097428C" w:rsidRDefault="0097428C" w:rsidP="0097428C">
      <w:pPr>
        <w:ind w:left="567" w:right="567"/>
        <w:jc w:val="both"/>
        <w:rPr>
          <w:rFonts w:ascii="Arial" w:eastAsia="Calibri" w:hAnsi="Arial" w:cs="Arial"/>
          <w:bCs/>
          <w:i/>
          <w:sz w:val="20"/>
          <w:szCs w:val="20"/>
        </w:rPr>
      </w:pPr>
    </w:p>
    <w:p w14:paraId="384D3090" w14:textId="0D3290AE" w:rsidR="0097428C" w:rsidRPr="006E773E" w:rsidRDefault="00BB36AD" w:rsidP="0097428C">
      <w:pPr>
        <w:ind w:left="567" w:right="567"/>
        <w:jc w:val="both"/>
        <w:rPr>
          <w:rFonts w:ascii="Arial" w:eastAsia="Calibri" w:hAnsi="Arial" w:cs="Arial"/>
          <w:bCs/>
          <w:i/>
          <w:sz w:val="20"/>
          <w:szCs w:val="20"/>
        </w:rPr>
      </w:pPr>
      <w:r>
        <w:rPr>
          <w:rFonts w:ascii="Arial" w:eastAsia="Calibri" w:hAnsi="Arial" w:cs="Arial"/>
          <w:bCs/>
          <w:i/>
          <w:sz w:val="20"/>
          <w:szCs w:val="20"/>
        </w:rPr>
        <w:t xml:space="preserve">... </w:t>
      </w:r>
      <w:r w:rsidR="0097428C" w:rsidRPr="00976BF6">
        <w:rPr>
          <w:rFonts w:ascii="Arial" w:eastAsia="Calibri" w:hAnsi="Arial" w:cs="Arial"/>
          <w:bCs/>
          <w:i/>
          <w:sz w:val="20"/>
          <w:szCs w:val="20"/>
        </w:rPr>
        <w:t>” [SIC]</w:t>
      </w:r>
    </w:p>
    <w:p w14:paraId="044CE1FA" w14:textId="77777777" w:rsidR="0097428C" w:rsidRDefault="0097428C" w:rsidP="0097428C">
      <w:pPr>
        <w:spacing w:line="360" w:lineRule="auto"/>
        <w:jc w:val="both"/>
        <w:outlineLvl w:val="0"/>
        <w:rPr>
          <w:rFonts w:ascii="Arial" w:eastAsia="Calibri" w:hAnsi="Arial" w:cs="Arial"/>
          <w:b/>
          <w:bCs/>
        </w:rPr>
      </w:pPr>
    </w:p>
    <w:p w14:paraId="61E86B26" w14:textId="77777777" w:rsidR="003020C8" w:rsidRDefault="003020C8" w:rsidP="0097428C">
      <w:pPr>
        <w:spacing w:line="360" w:lineRule="auto"/>
        <w:jc w:val="both"/>
        <w:outlineLvl w:val="0"/>
        <w:rPr>
          <w:rFonts w:ascii="Arial" w:eastAsia="Calibri" w:hAnsi="Arial" w:cs="Arial"/>
          <w:b/>
          <w:bCs/>
        </w:rPr>
      </w:pPr>
    </w:p>
    <w:p w14:paraId="1485E93F" w14:textId="3967E5D2" w:rsidR="0097428C" w:rsidRPr="001140DE" w:rsidRDefault="0097428C" w:rsidP="0097428C">
      <w:pPr>
        <w:spacing w:line="360" w:lineRule="auto"/>
        <w:jc w:val="both"/>
        <w:outlineLvl w:val="0"/>
        <w:rPr>
          <w:rFonts w:ascii="Arial" w:eastAsia="Calibri" w:hAnsi="Arial" w:cs="Arial"/>
          <w:b/>
        </w:rPr>
      </w:pPr>
      <w:r w:rsidRPr="00D65A20">
        <w:rPr>
          <w:rFonts w:ascii="Arial" w:eastAsia="Calibri" w:hAnsi="Arial" w:cs="Arial"/>
          <w:b/>
          <w:bCs/>
        </w:rPr>
        <w:lastRenderedPageBreak/>
        <w:t xml:space="preserve">IV. </w:t>
      </w:r>
      <w:r w:rsidRPr="00FA6599">
        <w:rPr>
          <w:rFonts w:ascii="Arial" w:eastAsia="Calibri" w:hAnsi="Arial" w:cs="Arial"/>
          <w:b/>
        </w:rPr>
        <w:t>Admisión</w:t>
      </w:r>
      <w:r>
        <w:rPr>
          <w:rFonts w:ascii="Arial" w:eastAsia="Calibri" w:hAnsi="Arial" w:cs="Arial"/>
          <w:b/>
        </w:rPr>
        <w:t xml:space="preserve">. </w:t>
      </w:r>
      <w:r w:rsidRPr="00FA6599">
        <w:rPr>
          <w:rFonts w:ascii="Arial" w:eastAsia="Calibri" w:hAnsi="Arial" w:cs="Arial"/>
          <w:bCs/>
        </w:rPr>
        <w:t>Consecuentemente, el</w:t>
      </w:r>
      <w:r w:rsidR="008E27FA">
        <w:rPr>
          <w:rFonts w:ascii="Arial" w:eastAsia="Calibri" w:hAnsi="Arial" w:cs="Arial"/>
          <w:bCs/>
        </w:rPr>
        <w:t xml:space="preserve"> 11</w:t>
      </w:r>
      <w:r>
        <w:rPr>
          <w:rFonts w:ascii="Arial" w:eastAsia="Calibri" w:hAnsi="Arial" w:cs="Arial"/>
          <w:bCs/>
        </w:rPr>
        <w:t xml:space="preserve"> de noviembre</w:t>
      </w:r>
      <w:r w:rsidRPr="00FA6599">
        <w:rPr>
          <w:rFonts w:ascii="Arial" w:eastAsia="Calibri" w:hAnsi="Arial" w:cs="Arial"/>
          <w:bCs/>
        </w:rPr>
        <w:t xml:space="preserve"> de 202</w:t>
      </w:r>
      <w:r>
        <w:rPr>
          <w:rFonts w:ascii="Arial" w:eastAsia="Calibri" w:hAnsi="Arial" w:cs="Arial"/>
          <w:bCs/>
        </w:rPr>
        <w:t>1, la Subdirectora de Proyectos de la Ponencia</w:t>
      </w:r>
      <w:r w:rsidRPr="00D65A20">
        <w:rPr>
          <w:rFonts w:ascii="Arial" w:eastAsia="Calibri" w:hAnsi="Arial" w:cs="Arial"/>
          <w:bCs/>
        </w:rPr>
        <w:t xml:space="preserve"> de la Comisionada Ciudadana Ponente, María del Carmen Nava Polina, con fundamento en lo establecido en los artículos 51, fracción I y II, 52, 53, fracción II, 233, 234, 236, 237 y 243, de la Ley de Transparencia,</w:t>
      </w:r>
      <w:r w:rsidRPr="00D65A20">
        <w:rPr>
          <w:rFonts w:ascii="Arial" w:eastAsia="Calibri" w:hAnsi="Arial" w:cs="Arial"/>
          <w:b/>
          <w:bCs/>
        </w:rPr>
        <w:t xml:space="preserve"> </w:t>
      </w:r>
      <w:r w:rsidRPr="00D65A20">
        <w:rPr>
          <w:rFonts w:ascii="Arial" w:eastAsia="Calibri" w:hAnsi="Arial" w:cs="Arial"/>
        </w:rPr>
        <w:t>acordó la admisión a trámite</w:t>
      </w:r>
      <w:r w:rsidRPr="00D65A20">
        <w:rPr>
          <w:rFonts w:ascii="Arial" w:eastAsia="Calibri" w:hAnsi="Arial" w:cs="Arial"/>
          <w:bCs/>
        </w:rPr>
        <w:t xml:space="preserve"> del recurso de revisión de la persona recurrente. </w:t>
      </w:r>
    </w:p>
    <w:p w14:paraId="7051DCEB" w14:textId="77777777" w:rsidR="0097428C" w:rsidRDefault="0097428C" w:rsidP="0097428C">
      <w:pPr>
        <w:widowControl w:val="0"/>
        <w:spacing w:line="360" w:lineRule="auto"/>
        <w:jc w:val="both"/>
        <w:rPr>
          <w:rFonts w:ascii="Arial" w:hAnsi="Arial" w:cs="Arial"/>
        </w:rPr>
      </w:pPr>
    </w:p>
    <w:p w14:paraId="0F9504B5" w14:textId="77777777" w:rsidR="0097428C" w:rsidRDefault="0097428C" w:rsidP="0097428C">
      <w:pPr>
        <w:widowControl w:val="0"/>
        <w:spacing w:line="360" w:lineRule="auto"/>
        <w:jc w:val="both"/>
        <w:rPr>
          <w:rFonts w:ascii="Arial" w:hAnsi="Arial" w:cs="Arial"/>
        </w:rPr>
      </w:pPr>
      <w:r w:rsidRPr="00D65A20">
        <w:rPr>
          <w:rFonts w:ascii="Arial" w:hAnsi="Arial" w:cs="Arial"/>
        </w:rPr>
        <w:t>Del mismo modo, con fundamento en el artículo 243, fracción II de la Ley, puso a disposición de las partes el expediente del recurso de revisión, para que, en un plazo máximo de siete días hábiles, posteriores a que surtiera efecto la notificación del acuerdo, manifestaran lo que a su derecho conviniera y, exhibieran las pruebas que considerasen necesarias o expresaran sus alegatos.</w:t>
      </w:r>
    </w:p>
    <w:p w14:paraId="51830417" w14:textId="77777777" w:rsidR="0097428C" w:rsidRDefault="0097428C" w:rsidP="0097428C">
      <w:pPr>
        <w:widowControl w:val="0"/>
        <w:spacing w:line="360" w:lineRule="auto"/>
        <w:jc w:val="both"/>
        <w:rPr>
          <w:rFonts w:ascii="Arial" w:hAnsi="Arial" w:cs="Arial"/>
        </w:rPr>
      </w:pPr>
    </w:p>
    <w:p w14:paraId="2A40CD62" w14:textId="54BEEEEC" w:rsidR="0097428C" w:rsidRDefault="0097428C" w:rsidP="0097428C">
      <w:pPr>
        <w:spacing w:line="360" w:lineRule="auto"/>
        <w:jc w:val="both"/>
        <w:outlineLvl w:val="0"/>
        <w:rPr>
          <w:rFonts w:ascii="Arial" w:eastAsia="Calibri" w:hAnsi="Arial" w:cs="Arial"/>
          <w:bCs/>
        </w:rPr>
      </w:pPr>
      <w:r w:rsidRPr="00D65A20">
        <w:rPr>
          <w:rFonts w:ascii="Arial" w:eastAsia="Calibri" w:hAnsi="Arial" w:cs="Arial"/>
          <w:b/>
          <w:bCs/>
        </w:rPr>
        <w:t>V. Manifestaciones y alegatos.</w:t>
      </w:r>
      <w:r w:rsidRPr="00D65A20">
        <w:rPr>
          <w:rFonts w:ascii="Arial" w:eastAsia="Calibri" w:hAnsi="Arial" w:cs="Arial"/>
          <w:bCs/>
        </w:rPr>
        <w:t xml:space="preserve"> El referido acuerdo de admisión fue notificado </w:t>
      </w:r>
      <w:r>
        <w:rPr>
          <w:rFonts w:ascii="Arial" w:eastAsia="Calibri" w:hAnsi="Arial" w:cs="Arial"/>
          <w:bCs/>
        </w:rPr>
        <w:t xml:space="preserve">a las partes </w:t>
      </w:r>
      <w:r w:rsidRPr="00D65A20">
        <w:rPr>
          <w:rFonts w:ascii="Arial" w:eastAsia="Calibri" w:hAnsi="Arial" w:cs="Arial"/>
          <w:bCs/>
        </w:rPr>
        <w:t xml:space="preserve">el </w:t>
      </w:r>
      <w:r>
        <w:rPr>
          <w:rFonts w:ascii="Arial" w:eastAsia="Calibri" w:hAnsi="Arial" w:cs="Arial"/>
          <w:bCs/>
        </w:rPr>
        <w:t xml:space="preserve">día 11 de noviembre </w:t>
      </w:r>
      <w:r w:rsidRPr="00D65A20">
        <w:rPr>
          <w:rFonts w:ascii="Arial" w:eastAsia="Calibri" w:hAnsi="Arial" w:cs="Arial"/>
          <w:bCs/>
        </w:rPr>
        <w:t>de 202</w:t>
      </w:r>
      <w:r>
        <w:rPr>
          <w:rFonts w:ascii="Arial" w:eastAsia="Calibri" w:hAnsi="Arial" w:cs="Arial"/>
          <w:bCs/>
        </w:rPr>
        <w:t>1</w:t>
      </w:r>
      <w:r w:rsidRPr="00D65A20">
        <w:rPr>
          <w:rFonts w:ascii="Arial" w:eastAsia="Calibri" w:hAnsi="Arial" w:cs="Arial"/>
          <w:bCs/>
        </w:rPr>
        <w:t xml:space="preserve"> vía </w:t>
      </w:r>
      <w:r>
        <w:rPr>
          <w:rFonts w:ascii="Arial" w:eastAsia="Calibri" w:hAnsi="Arial" w:cs="Arial"/>
          <w:bCs/>
        </w:rPr>
        <w:t xml:space="preserve">el Sistema de Gestión de Medios de Impugnación (SIGEMI) y por </w:t>
      </w:r>
      <w:r w:rsidRPr="00D65A20">
        <w:rPr>
          <w:rFonts w:ascii="Arial" w:eastAsia="Calibri" w:hAnsi="Arial" w:cs="Arial"/>
          <w:bCs/>
        </w:rPr>
        <w:t>correo electrónico</w:t>
      </w:r>
      <w:r w:rsidRPr="008F4B7C">
        <w:rPr>
          <w:rFonts w:ascii="Arial" w:eastAsia="Calibri" w:hAnsi="Arial" w:cs="Arial"/>
          <w:bCs/>
        </w:rPr>
        <w:t xml:space="preserve">; razón por la cual el plazo de los 7 días concedido a las mismas para que manifestaran lo que a su derecho conviniera y exhibieran las pruebas que considerasen necesarias o expresaran sus alegatos, abarcó </w:t>
      </w:r>
      <w:r w:rsidRPr="0051407B">
        <w:rPr>
          <w:rFonts w:ascii="Arial" w:eastAsia="Calibri" w:hAnsi="Arial" w:cs="Arial"/>
          <w:bCs/>
        </w:rPr>
        <w:t xml:space="preserve">del </w:t>
      </w:r>
      <w:r>
        <w:rPr>
          <w:rFonts w:ascii="Arial" w:eastAsia="Calibri" w:hAnsi="Arial" w:cs="Arial"/>
          <w:bCs/>
        </w:rPr>
        <w:t xml:space="preserve">12 </w:t>
      </w:r>
      <w:r w:rsidRPr="0051407B">
        <w:rPr>
          <w:rFonts w:ascii="Arial" w:eastAsia="Calibri" w:hAnsi="Arial" w:cs="Arial"/>
          <w:bCs/>
        </w:rPr>
        <w:t xml:space="preserve">al </w:t>
      </w:r>
      <w:r>
        <w:rPr>
          <w:rFonts w:ascii="Arial" w:eastAsia="Calibri" w:hAnsi="Arial" w:cs="Arial"/>
          <w:bCs/>
        </w:rPr>
        <w:t>23</w:t>
      </w:r>
      <w:r w:rsidRPr="0051407B">
        <w:rPr>
          <w:rFonts w:ascii="Arial" w:eastAsia="Calibri" w:hAnsi="Arial" w:cs="Arial"/>
          <w:bCs/>
        </w:rPr>
        <w:t xml:space="preserve"> de noviembre de 2021</w:t>
      </w:r>
      <w:r w:rsidRPr="0051407B">
        <w:rPr>
          <w:rStyle w:val="Refdenotaalpie"/>
          <w:rFonts w:ascii="Arial" w:eastAsia="Calibri" w:hAnsi="Arial" w:cs="Arial"/>
          <w:bCs/>
        </w:rPr>
        <w:footnoteReference w:id="3"/>
      </w:r>
      <w:r w:rsidRPr="0051407B">
        <w:rPr>
          <w:rFonts w:ascii="Arial" w:eastAsia="Calibri" w:hAnsi="Arial" w:cs="Arial"/>
          <w:bCs/>
        </w:rPr>
        <w:t>;</w:t>
      </w:r>
      <w:r w:rsidRPr="008F4B7C">
        <w:rPr>
          <w:rFonts w:ascii="Arial" w:eastAsia="Calibri" w:hAnsi="Arial" w:cs="Arial"/>
          <w:bCs/>
        </w:rPr>
        <w:t xml:space="preserve"> recibiéndose con </w:t>
      </w:r>
      <w:r>
        <w:rPr>
          <w:rFonts w:ascii="Arial" w:eastAsia="Calibri" w:hAnsi="Arial" w:cs="Arial"/>
          <w:bCs/>
        </w:rPr>
        <w:t>fecha 2</w:t>
      </w:r>
      <w:r w:rsidR="008E27FA">
        <w:rPr>
          <w:rFonts w:ascii="Arial" w:eastAsia="Calibri" w:hAnsi="Arial" w:cs="Arial"/>
          <w:bCs/>
        </w:rPr>
        <w:t>3</w:t>
      </w:r>
      <w:r w:rsidRPr="00D33CA8">
        <w:rPr>
          <w:rFonts w:ascii="Arial" w:eastAsia="Calibri" w:hAnsi="Arial" w:cs="Arial"/>
          <w:bCs/>
        </w:rPr>
        <w:t xml:space="preserve"> de noviembre de 2021, </w:t>
      </w:r>
      <w:r w:rsidRPr="008F4B7C">
        <w:rPr>
          <w:rFonts w:ascii="Arial" w:eastAsia="Calibri" w:hAnsi="Arial" w:cs="Arial"/>
          <w:bCs/>
        </w:rPr>
        <w:t xml:space="preserve">vía </w:t>
      </w:r>
      <w:r>
        <w:rPr>
          <w:rFonts w:ascii="Arial" w:eastAsia="Calibri" w:hAnsi="Arial" w:cs="Arial"/>
          <w:bCs/>
        </w:rPr>
        <w:t>el SIGEMI</w:t>
      </w:r>
      <w:r w:rsidR="008E27FA">
        <w:rPr>
          <w:rFonts w:ascii="Arial" w:eastAsia="Calibri" w:hAnsi="Arial" w:cs="Arial"/>
          <w:bCs/>
        </w:rPr>
        <w:t xml:space="preserve"> y el correo electrónico institucional de esta Ponencia</w:t>
      </w:r>
      <w:r>
        <w:rPr>
          <w:rFonts w:ascii="Arial" w:eastAsia="Calibri" w:hAnsi="Arial" w:cs="Arial"/>
          <w:bCs/>
        </w:rPr>
        <w:t xml:space="preserve">, el oficio </w:t>
      </w:r>
      <w:r w:rsidRPr="00A05C46">
        <w:rPr>
          <w:rFonts w:ascii="Arial" w:eastAsia="Calibri" w:hAnsi="Arial" w:cs="Arial"/>
          <w:bCs/>
        </w:rPr>
        <w:t xml:space="preserve">número </w:t>
      </w:r>
      <w:r w:rsidR="008E27FA">
        <w:rPr>
          <w:rFonts w:ascii="Arial" w:hAnsi="Arial" w:cs="Arial"/>
        </w:rPr>
        <w:t>CDMX/SOBSE/SUT/4099/2021</w:t>
      </w:r>
      <w:r>
        <w:rPr>
          <w:rFonts w:ascii="Arial" w:hAnsi="Arial" w:cs="Arial"/>
        </w:rPr>
        <w:t xml:space="preserve"> </w:t>
      </w:r>
      <w:r w:rsidRPr="00A05C46">
        <w:rPr>
          <w:rFonts w:ascii="Arial" w:eastAsia="Calibri" w:hAnsi="Arial" w:cs="Arial"/>
          <w:bCs/>
        </w:rPr>
        <w:t xml:space="preserve">de fecha </w:t>
      </w:r>
      <w:r>
        <w:rPr>
          <w:rFonts w:ascii="Arial" w:eastAsia="Calibri" w:hAnsi="Arial" w:cs="Arial"/>
          <w:bCs/>
        </w:rPr>
        <w:t>2</w:t>
      </w:r>
      <w:r w:rsidR="008E27FA">
        <w:rPr>
          <w:rFonts w:ascii="Arial" w:eastAsia="Calibri" w:hAnsi="Arial" w:cs="Arial"/>
          <w:bCs/>
        </w:rPr>
        <w:t>3</w:t>
      </w:r>
      <w:r w:rsidRPr="00A05C46">
        <w:rPr>
          <w:rFonts w:ascii="Arial" w:eastAsia="Calibri" w:hAnsi="Arial" w:cs="Arial"/>
          <w:bCs/>
        </w:rPr>
        <w:t xml:space="preserve"> de </w:t>
      </w:r>
      <w:r>
        <w:rPr>
          <w:rFonts w:ascii="Arial" w:eastAsia="Calibri" w:hAnsi="Arial" w:cs="Arial"/>
          <w:bCs/>
        </w:rPr>
        <w:t xml:space="preserve">noviembre </w:t>
      </w:r>
      <w:r w:rsidRPr="00A05C46">
        <w:rPr>
          <w:rFonts w:ascii="Arial" w:eastAsia="Calibri" w:hAnsi="Arial" w:cs="Arial"/>
          <w:bCs/>
        </w:rPr>
        <w:t>de 2021</w:t>
      </w:r>
      <w:r>
        <w:rPr>
          <w:rFonts w:ascii="Arial" w:eastAsia="Calibri" w:hAnsi="Arial" w:cs="Arial"/>
          <w:bCs/>
        </w:rPr>
        <w:t xml:space="preserve"> </w:t>
      </w:r>
      <w:r w:rsidRPr="00A05C46">
        <w:rPr>
          <w:rFonts w:ascii="Arial" w:eastAsia="Calibri" w:hAnsi="Arial" w:cs="Arial"/>
          <w:bCs/>
        </w:rPr>
        <w:t xml:space="preserve">emitido por </w:t>
      </w:r>
      <w:r w:rsidR="008E27FA">
        <w:rPr>
          <w:rFonts w:ascii="Arial" w:eastAsia="Calibri" w:hAnsi="Arial" w:cs="Arial"/>
          <w:bCs/>
        </w:rPr>
        <w:t>la</w:t>
      </w:r>
      <w:r w:rsidRPr="00A05C46">
        <w:rPr>
          <w:rFonts w:ascii="Arial" w:eastAsia="Calibri" w:hAnsi="Arial" w:cs="Arial"/>
          <w:bCs/>
        </w:rPr>
        <w:t xml:space="preserve"> </w:t>
      </w:r>
      <w:r>
        <w:rPr>
          <w:rFonts w:ascii="Arial" w:eastAsia="Calibri" w:hAnsi="Arial" w:cs="Arial"/>
          <w:bCs/>
        </w:rPr>
        <w:t>Subdirector</w:t>
      </w:r>
      <w:r w:rsidR="008E27FA">
        <w:rPr>
          <w:rFonts w:ascii="Arial" w:eastAsia="Calibri" w:hAnsi="Arial" w:cs="Arial"/>
          <w:bCs/>
        </w:rPr>
        <w:t>a</w:t>
      </w:r>
      <w:r>
        <w:rPr>
          <w:rFonts w:ascii="Arial" w:eastAsia="Calibri" w:hAnsi="Arial" w:cs="Arial"/>
          <w:bCs/>
        </w:rPr>
        <w:t xml:space="preserve"> de la Unidad de</w:t>
      </w:r>
      <w:r w:rsidRPr="00A05C46">
        <w:rPr>
          <w:rFonts w:ascii="Arial" w:eastAsia="Calibri" w:hAnsi="Arial" w:cs="Arial"/>
          <w:bCs/>
        </w:rPr>
        <w:t xml:space="preserve"> Transparencia</w:t>
      </w:r>
      <w:r>
        <w:rPr>
          <w:rFonts w:ascii="Arial" w:eastAsia="Calibri" w:hAnsi="Arial" w:cs="Arial"/>
        </w:rPr>
        <w:t xml:space="preserve">, </w:t>
      </w:r>
      <w:r w:rsidRPr="00BD1B0F">
        <w:rPr>
          <w:rFonts w:ascii="Arial" w:eastAsia="Calibri" w:hAnsi="Arial" w:cs="Arial"/>
          <w:bCs/>
        </w:rPr>
        <w:t xml:space="preserve">mediante el cual </w:t>
      </w:r>
      <w:r>
        <w:rPr>
          <w:rFonts w:ascii="Arial" w:eastAsia="Calibri" w:hAnsi="Arial" w:cs="Arial"/>
          <w:bCs/>
        </w:rPr>
        <w:t xml:space="preserve">el sujeto obligado </w:t>
      </w:r>
      <w:r w:rsidRPr="00BD1B0F">
        <w:rPr>
          <w:rFonts w:ascii="Arial" w:eastAsia="Calibri" w:hAnsi="Arial" w:cs="Arial"/>
          <w:bCs/>
        </w:rPr>
        <w:t>rindió sus manifestaciones</w:t>
      </w:r>
      <w:r>
        <w:rPr>
          <w:rFonts w:ascii="Arial" w:eastAsia="Calibri" w:hAnsi="Arial" w:cs="Arial"/>
          <w:bCs/>
        </w:rPr>
        <w:t xml:space="preserve">, </w:t>
      </w:r>
      <w:r w:rsidRPr="00BD1B0F">
        <w:rPr>
          <w:rFonts w:ascii="Arial" w:eastAsia="Calibri" w:hAnsi="Arial" w:cs="Arial"/>
          <w:bCs/>
        </w:rPr>
        <w:t>alegatos</w:t>
      </w:r>
      <w:r w:rsidR="008E27FA">
        <w:rPr>
          <w:rFonts w:ascii="Arial" w:eastAsia="Calibri" w:hAnsi="Arial" w:cs="Arial"/>
          <w:bCs/>
        </w:rPr>
        <w:t xml:space="preserve"> y</w:t>
      </w:r>
      <w:r>
        <w:rPr>
          <w:rFonts w:ascii="Arial" w:eastAsia="Calibri" w:hAnsi="Arial" w:cs="Arial"/>
          <w:bCs/>
        </w:rPr>
        <w:t xml:space="preserve"> pruebas</w:t>
      </w:r>
      <w:r w:rsidR="008E27FA">
        <w:rPr>
          <w:rFonts w:ascii="Arial" w:eastAsia="Calibri" w:hAnsi="Arial" w:cs="Arial"/>
          <w:bCs/>
        </w:rPr>
        <w:t>.</w:t>
      </w:r>
    </w:p>
    <w:p w14:paraId="13BF3626" w14:textId="581AB09B" w:rsidR="0097428C" w:rsidRPr="008E27FA" w:rsidRDefault="0097428C" w:rsidP="0090739C">
      <w:pPr>
        <w:pStyle w:val="NormalWeb"/>
        <w:spacing w:line="360" w:lineRule="auto"/>
        <w:jc w:val="both"/>
        <w:outlineLvl w:val="0"/>
        <w:rPr>
          <w:rFonts w:ascii="Arial" w:eastAsia="Calibri" w:hAnsi="Arial" w:cs="Arial"/>
          <w:bCs/>
        </w:rPr>
      </w:pPr>
      <w:r w:rsidRPr="00A31F1D">
        <w:rPr>
          <w:rFonts w:ascii="Arial" w:eastAsia="Calibri" w:hAnsi="Arial" w:cs="Arial"/>
          <w:b/>
          <w:bCs/>
        </w:rPr>
        <w:lastRenderedPageBreak/>
        <w:t>V</w:t>
      </w:r>
      <w:r>
        <w:rPr>
          <w:rFonts w:ascii="Arial" w:eastAsia="Calibri" w:hAnsi="Arial" w:cs="Arial"/>
          <w:b/>
          <w:bCs/>
        </w:rPr>
        <w:t>I</w:t>
      </w:r>
      <w:r w:rsidRPr="00A31F1D">
        <w:rPr>
          <w:rFonts w:ascii="Arial" w:eastAsia="Calibri" w:hAnsi="Arial" w:cs="Arial"/>
          <w:b/>
          <w:bCs/>
        </w:rPr>
        <w:t xml:space="preserve">. </w:t>
      </w:r>
      <w:r w:rsidRPr="004813C7">
        <w:rPr>
          <w:rFonts w:ascii="Arial" w:eastAsia="Calibri" w:hAnsi="Arial" w:cs="Arial"/>
          <w:b/>
          <w:bCs/>
        </w:rPr>
        <w:t>Cierre de instrucción</w:t>
      </w:r>
      <w:r w:rsidRPr="00A31F1D">
        <w:rPr>
          <w:rFonts w:ascii="Arial" w:eastAsia="Calibri" w:hAnsi="Arial" w:cs="Arial"/>
          <w:b/>
          <w:bCs/>
        </w:rPr>
        <w:t xml:space="preserve">. </w:t>
      </w:r>
      <w:r w:rsidRPr="00A31F1D">
        <w:rPr>
          <w:rFonts w:ascii="Arial" w:eastAsia="Calibri" w:hAnsi="Arial" w:cs="Arial"/>
          <w:bCs/>
        </w:rPr>
        <w:t xml:space="preserve">El </w:t>
      </w:r>
      <w:r w:rsidR="008E27FA">
        <w:rPr>
          <w:rFonts w:ascii="Arial" w:eastAsia="Calibri" w:hAnsi="Arial" w:cs="Arial"/>
          <w:bCs/>
        </w:rPr>
        <w:t>7</w:t>
      </w:r>
      <w:r>
        <w:rPr>
          <w:rFonts w:ascii="Arial" w:eastAsia="Calibri" w:hAnsi="Arial" w:cs="Arial"/>
          <w:bCs/>
        </w:rPr>
        <w:t xml:space="preserve"> de </w:t>
      </w:r>
      <w:r w:rsidR="008E27FA">
        <w:rPr>
          <w:rFonts w:ascii="Arial" w:eastAsia="Calibri" w:hAnsi="Arial" w:cs="Arial"/>
          <w:bCs/>
        </w:rPr>
        <w:t>enero</w:t>
      </w:r>
      <w:r>
        <w:rPr>
          <w:rFonts w:ascii="Arial" w:eastAsia="Calibri" w:hAnsi="Arial" w:cs="Arial"/>
          <w:bCs/>
        </w:rPr>
        <w:t xml:space="preserve"> de 202</w:t>
      </w:r>
      <w:r w:rsidR="008E27FA">
        <w:rPr>
          <w:rFonts w:ascii="Arial" w:eastAsia="Calibri" w:hAnsi="Arial" w:cs="Arial"/>
          <w:bCs/>
        </w:rPr>
        <w:t>2</w:t>
      </w:r>
      <w:r w:rsidRPr="00A31F1D">
        <w:rPr>
          <w:rFonts w:ascii="Arial" w:eastAsia="Calibri" w:hAnsi="Arial" w:cs="Arial"/>
          <w:bCs/>
        </w:rPr>
        <w:t>,</w:t>
      </w:r>
      <w:r>
        <w:rPr>
          <w:rFonts w:ascii="Arial" w:eastAsia="Calibri" w:hAnsi="Arial" w:cs="Arial"/>
          <w:bCs/>
        </w:rPr>
        <w:t xml:space="preserve"> se tuvieron por presentadas las manifestaciones y alegatos vertid</w:t>
      </w:r>
      <w:r w:rsidR="000E3257">
        <w:rPr>
          <w:rFonts w:ascii="Arial" w:eastAsia="Calibri" w:hAnsi="Arial" w:cs="Arial"/>
          <w:bCs/>
        </w:rPr>
        <w:t>o</w:t>
      </w:r>
      <w:r>
        <w:rPr>
          <w:rFonts w:ascii="Arial" w:eastAsia="Calibri" w:hAnsi="Arial" w:cs="Arial"/>
          <w:bCs/>
        </w:rPr>
        <w:t>s por el sujeto obligado</w:t>
      </w:r>
      <w:r w:rsidR="008E27FA">
        <w:rPr>
          <w:rFonts w:ascii="Arial" w:eastAsia="Calibri" w:hAnsi="Arial" w:cs="Arial"/>
          <w:bCs/>
        </w:rPr>
        <w:t xml:space="preserve">. </w:t>
      </w:r>
      <w:r>
        <w:rPr>
          <w:rFonts w:ascii="Arial" w:eastAsia="Calibri" w:hAnsi="Arial" w:cs="Arial"/>
          <w:bCs/>
        </w:rPr>
        <w:t xml:space="preserve">Finalmente, </w:t>
      </w:r>
      <w:r w:rsidRPr="00717520">
        <w:rPr>
          <w:rFonts w:ascii="Arial" w:eastAsia="Calibri" w:hAnsi="Arial" w:cs="Arial"/>
          <w:bCs/>
        </w:rPr>
        <w:t>con fundamento</w:t>
      </w:r>
      <w:r w:rsidRPr="005B5E33">
        <w:rPr>
          <w:rFonts w:ascii="Arial" w:eastAsia="Calibri" w:hAnsi="Arial" w:cs="Arial"/>
          <w:bCs/>
        </w:rPr>
        <w:t xml:space="preserve"> en el artículo 243 fracción V y VII de la Ley de Transparencia, la </w:t>
      </w:r>
      <w:r>
        <w:rPr>
          <w:rFonts w:ascii="Arial" w:eastAsia="Calibri" w:hAnsi="Arial" w:cs="Arial"/>
          <w:bCs/>
        </w:rPr>
        <w:t xml:space="preserve">Subdirectora de Proyectos de la </w:t>
      </w:r>
      <w:r w:rsidRPr="005B5E33">
        <w:rPr>
          <w:rFonts w:ascii="Arial" w:eastAsia="Calibri" w:hAnsi="Arial" w:cs="Arial"/>
          <w:bCs/>
        </w:rPr>
        <w:t xml:space="preserve">Comisionada Ponente dictó el cierre </w:t>
      </w:r>
      <w:r w:rsidRPr="005B5E33">
        <w:rPr>
          <w:rFonts w:ascii="Arial" w:eastAsia="MS Mincho" w:hAnsi="Arial" w:cs="Arial"/>
        </w:rPr>
        <w:t xml:space="preserve">del periodo de instrucción y ordenó elaborar el proyecto de resolución correspondiente. Lo anterior, </w:t>
      </w:r>
      <w:r w:rsidRPr="00986726">
        <w:rPr>
          <w:rFonts w:ascii="Arial" w:hAnsi="Arial" w:cs="Arial"/>
          <w:bCs/>
        </w:rPr>
        <w:t>toda vez que este Instituto no tiene constancias de haber recibido</w:t>
      </w:r>
      <w:r>
        <w:rPr>
          <w:rFonts w:ascii="Arial" w:hAnsi="Arial" w:cs="Arial"/>
          <w:bCs/>
        </w:rPr>
        <w:t xml:space="preserve"> </w:t>
      </w:r>
      <w:r w:rsidRPr="00986726">
        <w:rPr>
          <w:rFonts w:ascii="Arial" w:hAnsi="Arial" w:cs="Arial"/>
          <w:bCs/>
        </w:rPr>
        <w:t xml:space="preserve">manifestaciones por </w:t>
      </w:r>
      <w:r>
        <w:rPr>
          <w:rFonts w:ascii="Arial" w:hAnsi="Arial" w:cs="Arial"/>
          <w:bCs/>
        </w:rPr>
        <w:t>la persona recurrente</w:t>
      </w:r>
      <w:r w:rsidRPr="00986726">
        <w:rPr>
          <w:rFonts w:ascii="Arial" w:hAnsi="Arial" w:cs="Arial"/>
          <w:bCs/>
        </w:rPr>
        <w:t xml:space="preserve"> durante la substanciación del presente expediente</w:t>
      </w:r>
      <w:r>
        <w:rPr>
          <w:rFonts w:ascii="Arial" w:hAnsi="Arial" w:cs="Arial"/>
          <w:bCs/>
        </w:rPr>
        <w:t>.</w:t>
      </w:r>
    </w:p>
    <w:p w14:paraId="6E269E8B" w14:textId="77777777" w:rsidR="00FE708E" w:rsidRDefault="00FE708E" w:rsidP="0097428C">
      <w:pPr>
        <w:spacing w:line="360" w:lineRule="auto"/>
        <w:jc w:val="center"/>
        <w:outlineLvl w:val="0"/>
        <w:rPr>
          <w:rFonts w:ascii="Arial" w:eastAsia="Calibri" w:hAnsi="Arial" w:cs="Arial"/>
          <w:b/>
        </w:rPr>
      </w:pPr>
    </w:p>
    <w:p w14:paraId="298D1D22" w14:textId="3CB7B1A3" w:rsidR="0097428C" w:rsidRPr="00290A98" w:rsidRDefault="0097428C" w:rsidP="0097428C">
      <w:pPr>
        <w:spacing w:line="360" w:lineRule="auto"/>
        <w:jc w:val="center"/>
        <w:outlineLvl w:val="0"/>
        <w:rPr>
          <w:rFonts w:ascii="Arial" w:hAnsi="Arial" w:cs="Arial"/>
          <w:bCs/>
        </w:rPr>
      </w:pPr>
      <w:r w:rsidRPr="00D65A20">
        <w:rPr>
          <w:rFonts w:ascii="Arial" w:eastAsia="Calibri" w:hAnsi="Arial" w:cs="Arial"/>
          <w:b/>
        </w:rPr>
        <w:t>C O N S I D E R A C I O N E S</w:t>
      </w:r>
    </w:p>
    <w:p w14:paraId="25A36636" w14:textId="77777777" w:rsidR="0097428C" w:rsidRDefault="0097428C" w:rsidP="0097428C">
      <w:pPr>
        <w:spacing w:line="360" w:lineRule="auto"/>
        <w:jc w:val="both"/>
        <w:outlineLvl w:val="0"/>
        <w:rPr>
          <w:rFonts w:ascii="Arial" w:hAnsi="Arial" w:cs="Arial"/>
          <w:b/>
        </w:rPr>
      </w:pPr>
    </w:p>
    <w:p w14:paraId="0894FCB0" w14:textId="77777777" w:rsidR="0097428C" w:rsidRDefault="0097428C" w:rsidP="0097428C">
      <w:pPr>
        <w:spacing w:line="360" w:lineRule="auto"/>
        <w:jc w:val="both"/>
        <w:outlineLvl w:val="0"/>
        <w:rPr>
          <w:rFonts w:ascii="Arial" w:hAnsi="Arial" w:cs="Arial"/>
        </w:rPr>
      </w:pPr>
      <w:r w:rsidRPr="00D65A20">
        <w:rPr>
          <w:rFonts w:ascii="Arial" w:hAnsi="Arial" w:cs="Arial"/>
          <w:b/>
        </w:rPr>
        <w:t xml:space="preserve">PRIMERA. Competencia. </w:t>
      </w:r>
      <w:r w:rsidRPr="00D65A20">
        <w:rPr>
          <w:rFonts w:ascii="Arial" w:hAnsi="Arial" w:cs="Arial"/>
        </w:rPr>
        <w:t xml:space="preserve">El Instituto de Transparencia, Acceso a la Información Pública, Protección de Datos Personales y Rendición de Cuentas de la Ciudad de México, es competente para investigar, conocer y resolver el presente recurso de revisión con fundamento en lo establecido en los artículos 6, párrafos primero, segundo y apartado A de la </w:t>
      </w:r>
      <w:r w:rsidRPr="00D65A20">
        <w:rPr>
          <w:rFonts w:ascii="Arial" w:hAnsi="Arial" w:cs="Arial"/>
          <w:i/>
        </w:rPr>
        <w:t>Constitución Política de los Estados Unidos Mexicanos</w:t>
      </w:r>
      <w:r w:rsidRPr="00D65A20">
        <w:rPr>
          <w:rFonts w:ascii="Arial" w:hAnsi="Arial" w:cs="Arial"/>
        </w:rPr>
        <w:t xml:space="preserve">, 7, apartado D y 49 de la </w:t>
      </w:r>
      <w:r w:rsidRPr="00D65A20">
        <w:rPr>
          <w:rFonts w:ascii="Arial" w:hAnsi="Arial" w:cs="Arial"/>
          <w:i/>
        </w:rPr>
        <w:t>Constitución Política de la Ciudad de México</w:t>
      </w:r>
      <w:r w:rsidRPr="00D65A20">
        <w:rPr>
          <w:rFonts w:ascii="Arial" w:hAnsi="Arial" w:cs="Arial"/>
        </w:rPr>
        <w:t xml:space="preserve">, 1, 2, 37, 51, 52, 53 fracción XXI, 233, 234, 236, 237, 238, 239, 242, 243, 244, 245, 246, 247 y 253 de la </w:t>
      </w:r>
      <w:r w:rsidRPr="00D65A20">
        <w:rPr>
          <w:rFonts w:ascii="Arial" w:hAnsi="Arial" w:cs="Arial"/>
          <w:i/>
          <w:iCs/>
        </w:rPr>
        <w:t>Ley de Transparencia, Acceso a la Información Pública y Rendición de Cuentas de la Ciudad de México;</w:t>
      </w:r>
      <w:r w:rsidRPr="00D65A20">
        <w:rPr>
          <w:rFonts w:ascii="Arial" w:hAnsi="Arial" w:cs="Arial"/>
        </w:rPr>
        <w:t xml:space="preserve"> 2, 3, 4, fracciones I, XI, XII y XVIII, 12, fracciones I y IV, 13, fracción IX y X y 14, fracciones III, IV y VII, del </w:t>
      </w:r>
      <w:r w:rsidRPr="00D65A20">
        <w:rPr>
          <w:rFonts w:ascii="Arial" w:hAnsi="Arial" w:cs="Arial"/>
          <w:i/>
          <w:iCs/>
        </w:rPr>
        <w:t>Reglamento Interior del Instituto de Transparencia, Acceso a la Información Pública, Protección de Datos Personales y Rendición de Cuentas de la Ciudad de México</w:t>
      </w:r>
      <w:r w:rsidRPr="00D65A20">
        <w:rPr>
          <w:rFonts w:ascii="Arial" w:hAnsi="Arial" w:cs="Arial"/>
        </w:rPr>
        <w:t>.</w:t>
      </w:r>
    </w:p>
    <w:p w14:paraId="56AEA1F6" w14:textId="77777777" w:rsidR="0097428C" w:rsidRPr="00CD7256" w:rsidRDefault="0097428C" w:rsidP="0097428C">
      <w:pPr>
        <w:spacing w:line="360" w:lineRule="auto"/>
        <w:jc w:val="both"/>
        <w:outlineLvl w:val="0"/>
        <w:rPr>
          <w:rFonts w:ascii="Arial" w:hAnsi="Arial" w:cs="Arial"/>
        </w:rPr>
      </w:pPr>
    </w:p>
    <w:p w14:paraId="048832C9" w14:textId="77777777" w:rsidR="0097428C" w:rsidRPr="00D65A20" w:rsidRDefault="0097428C" w:rsidP="0097428C">
      <w:pPr>
        <w:spacing w:line="360" w:lineRule="auto"/>
        <w:jc w:val="both"/>
        <w:outlineLvl w:val="0"/>
        <w:rPr>
          <w:rFonts w:ascii="Arial" w:eastAsia="Arial Unicode MS" w:hAnsi="Arial" w:cs="Arial"/>
          <w:bdr w:val="none" w:sz="0" w:space="0" w:color="auto" w:frame="1"/>
        </w:rPr>
      </w:pPr>
      <w:r w:rsidRPr="00D65A20">
        <w:rPr>
          <w:rFonts w:ascii="Arial" w:hAnsi="Arial" w:cs="Arial"/>
          <w:b/>
        </w:rPr>
        <w:lastRenderedPageBreak/>
        <w:t>SEGUNDA. Procedencia.</w:t>
      </w:r>
      <w:r w:rsidRPr="00D65A20">
        <w:rPr>
          <w:rFonts w:ascii="Arial" w:hAnsi="Arial" w:cs="Arial"/>
        </w:rPr>
        <w:t xml:space="preserve"> </w:t>
      </w:r>
      <w:r w:rsidRPr="00D65A20">
        <w:rPr>
          <w:rFonts w:ascii="Arial" w:eastAsia="Arial Unicode MS" w:hAnsi="Arial" w:cs="Arial"/>
          <w:bdr w:val="none" w:sz="0" w:space="0" w:color="auto" w:frame="1"/>
        </w:rPr>
        <w:t>Este Instituto de Transparencia considera que el medio de impugnación reúne los requisitos de procedencia previstos en los artículos 234, 236 fracción I y artículo 237 de la Ley de Transparencia, como se expone a continuación:</w:t>
      </w:r>
    </w:p>
    <w:p w14:paraId="78110961" w14:textId="77777777" w:rsidR="0097428C" w:rsidRPr="00D65A20" w:rsidRDefault="0097428C" w:rsidP="0097428C">
      <w:pPr>
        <w:spacing w:line="360" w:lineRule="auto"/>
        <w:jc w:val="both"/>
        <w:outlineLvl w:val="0"/>
        <w:rPr>
          <w:rFonts w:ascii="Arial" w:eastAsia="Arial Unicode MS" w:hAnsi="Arial" w:cs="Arial"/>
          <w:bdr w:val="none" w:sz="0" w:space="0" w:color="auto" w:frame="1"/>
        </w:rPr>
      </w:pPr>
    </w:p>
    <w:p w14:paraId="40A1CF91" w14:textId="77777777" w:rsidR="0097428C" w:rsidRPr="00D65A20" w:rsidRDefault="0097428C" w:rsidP="0097428C">
      <w:pPr>
        <w:autoSpaceDE w:val="0"/>
        <w:autoSpaceDN w:val="0"/>
        <w:adjustRightInd w:val="0"/>
        <w:spacing w:line="360" w:lineRule="auto"/>
        <w:jc w:val="both"/>
        <w:rPr>
          <w:rFonts w:ascii="Arial" w:eastAsia="Arial Unicode MS" w:hAnsi="Arial" w:cs="Arial"/>
          <w:bdr w:val="none" w:sz="0" w:space="0" w:color="auto" w:frame="1"/>
        </w:rPr>
      </w:pPr>
      <w:r w:rsidRPr="00D65A20">
        <w:rPr>
          <w:rFonts w:ascii="Arial" w:eastAsia="Arial Unicode MS" w:hAnsi="Arial" w:cs="Arial"/>
          <w:b/>
          <w:bdr w:val="none" w:sz="0" w:space="0" w:color="auto" w:frame="1"/>
        </w:rPr>
        <w:t>a) Forma.</w:t>
      </w:r>
      <w:r w:rsidRPr="00D65A20">
        <w:rPr>
          <w:rFonts w:ascii="Arial" w:eastAsia="Arial Unicode MS" w:hAnsi="Arial" w:cs="Arial"/>
          <w:bdr w:val="none" w:sz="0" w:space="0" w:color="auto" w:frame="1"/>
        </w:rPr>
        <w:t xml:space="preserve"> La persona recurrente presentó el recurso de revisión, a través de la Plataforma Nacional de Transparencia, mediante el sistema electrónico INFOMEX, haciendo constar nombre, medio para oír y recibir notificaciones, identificó al sujeto obligado ante el cual presentó solicitud, señaló el acto que recurre y expuso los hechos y razones de inconformidad correspondientes.</w:t>
      </w:r>
    </w:p>
    <w:p w14:paraId="1AA4B4EF" w14:textId="77777777" w:rsidR="0097428C" w:rsidRDefault="0097428C" w:rsidP="0097428C">
      <w:pPr>
        <w:autoSpaceDE w:val="0"/>
        <w:autoSpaceDN w:val="0"/>
        <w:adjustRightInd w:val="0"/>
        <w:spacing w:line="360" w:lineRule="auto"/>
        <w:jc w:val="both"/>
        <w:rPr>
          <w:rFonts w:ascii="Arial" w:eastAsia="Arial Unicode MS" w:hAnsi="Arial" w:cs="Arial"/>
          <w:b/>
          <w:bdr w:val="none" w:sz="0" w:space="0" w:color="auto" w:frame="1"/>
        </w:rPr>
      </w:pPr>
    </w:p>
    <w:p w14:paraId="3BBE04B3" w14:textId="77777777" w:rsidR="0097428C" w:rsidRPr="00D65A20" w:rsidRDefault="0097428C" w:rsidP="0097428C">
      <w:pPr>
        <w:autoSpaceDE w:val="0"/>
        <w:autoSpaceDN w:val="0"/>
        <w:adjustRightInd w:val="0"/>
        <w:spacing w:line="360" w:lineRule="auto"/>
        <w:jc w:val="both"/>
        <w:rPr>
          <w:rFonts w:ascii="Arial" w:eastAsia="Arial Unicode MS" w:hAnsi="Arial" w:cs="Arial"/>
          <w:bdr w:val="none" w:sz="0" w:space="0" w:color="auto" w:frame="1"/>
        </w:rPr>
      </w:pPr>
      <w:r w:rsidRPr="00D65A20">
        <w:rPr>
          <w:rFonts w:ascii="Arial" w:eastAsia="Arial Unicode MS" w:hAnsi="Arial" w:cs="Arial"/>
          <w:b/>
          <w:bdr w:val="none" w:sz="0" w:space="0" w:color="auto" w:frame="1"/>
        </w:rPr>
        <w:t xml:space="preserve">b) Oportunidad. </w:t>
      </w:r>
      <w:r w:rsidRPr="00D65A20">
        <w:rPr>
          <w:rFonts w:ascii="Arial" w:eastAsia="Arial Unicode MS" w:hAnsi="Arial" w:cs="Arial"/>
          <w:bdr w:val="none" w:sz="0" w:space="0" w:color="auto" w:frame="1"/>
        </w:rPr>
        <w:t xml:space="preserve">La presentación del recurso de revisión es oportuna, dado que la persona recurrente lo presentó dentro del plazo de quince días hábiles al que se refiere el artículo 236 de la Ley de Transparencia. </w:t>
      </w:r>
    </w:p>
    <w:p w14:paraId="03C712A2" w14:textId="77777777" w:rsidR="0097428C" w:rsidRPr="00D65A20" w:rsidRDefault="0097428C" w:rsidP="0097428C">
      <w:pPr>
        <w:spacing w:line="360" w:lineRule="auto"/>
        <w:jc w:val="both"/>
        <w:outlineLvl w:val="0"/>
        <w:rPr>
          <w:rFonts w:ascii="Arial" w:eastAsia="Arial Unicode MS" w:hAnsi="Arial" w:cs="Arial"/>
          <w:bdr w:val="none" w:sz="0" w:space="0" w:color="auto" w:frame="1"/>
        </w:rPr>
      </w:pPr>
    </w:p>
    <w:p w14:paraId="5B3EA733" w14:textId="77777777" w:rsidR="0090739C" w:rsidRPr="00C31D70" w:rsidRDefault="0097428C" w:rsidP="0090739C">
      <w:pPr>
        <w:autoSpaceDE w:val="0"/>
        <w:autoSpaceDN w:val="0"/>
        <w:adjustRightInd w:val="0"/>
        <w:spacing w:line="360" w:lineRule="auto"/>
        <w:jc w:val="both"/>
        <w:rPr>
          <w:rFonts w:ascii="Arial" w:hAnsi="Arial" w:cs="Arial"/>
          <w:color w:val="000000"/>
          <w:lang w:val="es-ES_tradnl"/>
        </w:rPr>
      </w:pPr>
      <w:r w:rsidRPr="003E30BA">
        <w:rPr>
          <w:rFonts w:ascii="Arial" w:hAnsi="Arial" w:cs="Arial"/>
          <w:b/>
        </w:rPr>
        <w:t xml:space="preserve">c) Improcedencia. </w:t>
      </w:r>
      <w:r w:rsidR="0090739C" w:rsidRPr="00C31D70">
        <w:rPr>
          <w:rFonts w:ascii="Arial" w:hAnsi="Arial" w:cs="Arial"/>
          <w:color w:val="000000"/>
          <w:lang w:val="es-ES_tradnl"/>
        </w:rPr>
        <w:t>Previo al análisis de fondo de los argumentos formulados en el medio de impugnación que nos ocupa, esta autoridad realiza el estudio oficioso de las causales de improcedencia del recurso de revisión, por tratarse de una cuestión de orden público y estudio preferente, atento a lo establecido por la jurisprudencia de rubro IMPROCEDENCIA</w:t>
      </w:r>
      <w:r w:rsidR="0090739C" w:rsidRPr="00C31D70">
        <w:rPr>
          <w:rFonts w:ascii="Arial" w:hAnsi="Arial" w:cs="Arial"/>
          <w:color w:val="000000"/>
          <w:vertAlign w:val="superscript"/>
          <w:lang w:val="es-ES_tradnl"/>
        </w:rPr>
        <w:footnoteReference w:id="4"/>
      </w:r>
      <w:r w:rsidR="0090739C" w:rsidRPr="00C31D70">
        <w:rPr>
          <w:rFonts w:ascii="Arial" w:hAnsi="Arial" w:cs="Arial"/>
          <w:color w:val="000000"/>
          <w:lang w:val="es-ES_tradnl"/>
        </w:rPr>
        <w:t>.</w:t>
      </w:r>
    </w:p>
    <w:p w14:paraId="0DA128EC" w14:textId="77777777" w:rsidR="0090739C" w:rsidRPr="00C31D70" w:rsidRDefault="0090739C" w:rsidP="0090739C">
      <w:pPr>
        <w:autoSpaceDE w:val="0"/>
        <w:autoSpaceDN w:val="0"/>
        <w:adjustRightInd w:val="0"/>
        <w:spacing w:line="360" w:lineRule="auto"/>
        <w:jc w:val="both"/>
        <w:rPr>
          <w:rFonts w:ascii="Arial" w:hAnsi="Arial" w:cs="Arial"/>
          <w:color w:val="000000"/>
          <w:lang w:val="es-ES"/>
        </w:rPr>
      </w:pPr>
    </w:p>
    <w:p w14:paraId="67C34481" w14:textId="78D80171" w:rsidR="0097428C" w:rsidRPr="0090739C" w:rsidRDefault="0090739C" w:rsidP="0090739C">
      <w:pPr>
        <w:autoSpaceDE w:val="0"/>
        <w:autoSpaceDN w:val="0"/>
        <w:adjustRightInd w:val="0"/>
        <w:spacing w:line="360" w:lineRule="auto"/>
        <w:jc w:val="both"/>
        <w:rPr>
          <w:rFonts w:ascii="Arial" w:hAnsi="Arial" w:cs="Arial"/>
          <w:color w:val="000000"/>
          <w:lang w:val="es-ES"/>
        </w:rPr>
      </w:pPr>
      <w:r w:rsidRPr="000A345E">
        <w:rPr>
          <w:rFonts w:ascii="Arial" w:hAnsi="Arial" w:cs="Arial"/>
          <w:color w:val="000000"/>
          <w:lang w:val="es-ES"/>
        </w:rPr>
        <w:t>El sujeto obligado no hizo valer causal de improcedencia</w:t>
      </w:r>
      <w:r w:rsidRPr="00C31D70">
        <w:rPr>
          <w:rFonts w:ascii="Arial" w:hAnsi="Arial" w:cs="Arial"/>
          <w:color w:val="000000"/>
          <w:lang w:val="es-ES"/>
        </w:rPr>
        <w:t xml:space="preserve"> y este </w:t>
      </w:r>
      <w:r>
        <w:rPr>
          <w:rFonts w:ascii="Arial" w:hAnsi="Arial" w:cs="Arial"/>
          <w:color w:val="000000"/>
          <w:lang w:val="es-ES"/>
        </w:rPr>
        <w:t>ó</w:t>
      </w:r>
      <w:r w:rsidRPr="00C31D70">
        <w:rPr>
          <w:rFonts w:ascii="Arial" w:hAnsi="Arial" w:cs="Arial"/>
          <w:color w:val="000000"/>
          <w:lang w:val="es-ES"/>
        </w:rPr>
        <w:t xml:space="preserve">rgano </w:t>
      </w:r>
      <w:r>
        <w:rPr>
          <w:rFonts w:ascii="Arial" w:hAnsi="Arial" w:cs="Arial"/>
          <w:color w:val="000000"/>
          <w:lang w:val="es-ES"/>
        </w:rPr>
        <w:t>c</w:t>
      </w:r>
      <w:r w:rsidRPr="00C31D70">
        <w:rPr>
          <w:rFonts w:ascii="Arial" w:hAnsi="Arial" w:cs="Arial"/>
          <w:color w:val="000000"/>
          <w:lang w:val="es-ES"/>
        </w:rPr>
        <w:t xml:space="preserve">olegiado no advirtió la actualización de alguna de las previstas por la </w:t>
      </w:r>
      <w:r w:rsidRPr="00C31D70">
        <w:rPr>
          <w:rFonts w:ascii="Arial" w:hAnsi="Arial" w:cs="Arial"/>
          <w:color w:val="000000"/>
          <w:lang w:val="es-ES_tradnl"/>
        </w:rPr>
        <w:t>Ley de Transparencia, Acceso a la Información Pública y Rendición de Cuentas de la Ciudad de México</w:t>
      </w:r>
      <w:r w:rsidRPr="00C31D70">
        <w:rPr>
          <w:rFonts w:ascii="Arial" w:hAnsi="Arial" w:cs="Arial"/>
          <w:color w:val="000000"/>
          <w:lang w:val="es-ES"/>
        </w:rPr>
        <w:t xml:space="preserve"> o por su </w:t>
      </w:r>
      <w:r w:rsidRPr="00C31D70">
        <w:rPr>
          <w:rFonts w:ascii="Arial" w:hAnsi="Arial" w:cs="Arial"/>
          <w:color w:val="000000"/>
          <w:lang w:val="es-ES"/>
        </w:rPr>
        <w:lastRenderedPageBreak/>
        <w:t>normatividad supletoria. En tales circunstancias, este Instituto determina oportuno entrar al estudio de fondo en el presente medio impugnativo.</w:t>
      </w:r>
      <w:r w:rsidRPr="008C4CA4">
        <w:rPr>
          <w:rFonts w:ascii="Arial" w:hAnsi="Arial" w:cs="Arial"/>
          <w:color w:val="000000"/>
          <w:lang w:val="es-ES"/>
        </w:rPr>
        <w:t xml:space="preserve"> </w:t>
      </w:r>
      <w:r w:rsidR="0097428C">
        <w:rPr>
          <w:rFonts w:ascii="Arial" w:hAnsi="Arial" w:cs="Arial"/>
          <w:bCs/>
          <w:color w:val="000000"/>
        </w:rPr>
        <w:t xml:space="preserve"> </w:t>
      </w:r>
    </w:p>
    <w:p w14:paraId="1DAB4E94" w14:textId="77777777" w:rsidR="0097428C" w:rsidRDefault="0097428C" w:rsidP="0097428C">
      <w:pPr>
        <w:tabs>
          <w:tab w:val="left" w:pos="1134"/>
        </w:tabs>
        <w:autoSpaceDE w:val="0"/>
        <w:autoSpaceDN w:val="0"/>
        <w:adjustRightInd w:val="0"/>
        <w:spacing w:line="360" w:lineRule="auto"/>
        <w:jc w:val="both"/>
        <w:rPr>
          <w:rFonts w:ascii="Arial" w:hAnsi="Arial" w:cs="Arial"/>
          <w:b/>
        </w:rPr>
      </w:pPr>
    </w:p>
    <w:p w14:paraId="65C4C6FA" w14:textId="1E5A347D" w:rsidR="00636838" w:rsidRDefault="0097428C" w:rsidP="0097428C">
      <w:pPr>
        <w:tabs>
          <w:tab w:val="left" w:pos="1134"/>
        </w:tabs>
        <w:autoSpaceDE w:val="0"/>
        <w:autoSpaceDN w:val="0"/>
        <w:adjustRightInd w:val="0"/>
        <w:spacing w:line="360" w:lineRule="auto"/>
        <w:jc w:val="both"/>
        <w:rPr>
          <w:rFonts w:ascii="Arial" w:hAnsi="Arial" w:cs="Arial"/>
          <w:i/>
          <w:iCs/>
        </w:rPr>
      </w:pPr>
      <w:r w:rsidRPr="00636838">
        <w:rPr>
          <w:rFonts w:ascii="Arial" w:hAnsi="Arial" w:cs="Arial"/>
          <w:b/>
        </w:rPr>
        <w:t xml:space="preserve">TERCERA. Descripción de hechos y planteamiento de la controversia. </w:t>
      </w:r>
      <w:r w:rsidRPr="00636838">
        <w:rPr>
          <w:rFonts w:ascii="Arial" w:hAnsi="Arial" w:cs="Arial"/>
        </w:rPr>
        <w:t xml:space="preserve">En su solicitud, la persona ahora recurrente requirió a la </w:t>
      </w:r>
      <w:r w:rsidR="00636838" w:rsidRPr="00636838">
        <w:rPr>
          <w:rFonts w:ascii="Arial" w:hAnsi="Arial" w:cs="Arial"/>
        </w:rPr>
        <w:t>Secretaría de Obras y Servicios</w:t>
      </w:r>
      <w:r w:rsidRPr="00636838">
        <w:rPr>
          <w:rFonts w:ascii="Arial" w:hAnsi="Arial" w:cs="Arial"/>
        </w:rPr>
        <w:t xml:space="preserve">: </w:t>
      </w:r>
    </w:p>
    <w:p w14:paraId="059C5630" w14:textId="77777777" w:rsidR="00D12487" w:rsidRDefault="00D12487" w:rsidP="0097428C">
      <w:pPr>
        <w:tabs>
          <w:tab w:val="left" w:pos="1134"/>
        </w:tabs>
        <w:autoSpaceDE w:val="0"/>
        <w:autoSpaceDN w:val="0"/>
        <w:adjustRightInd w:val="0"/>
        <w:spacing w:line="360" w:lineRule="auto"/>
        <w:jc w:val="both"/>
        <w:rPr>
          <w:rFonts w:ascii="Arial" w:hAnsi="Arial" w:cs="Arial"/>
          <w:i/>
          <w:iCs/>
        </w:rPr>
      </w:pPr>
    </w:p>
    <w:p w14:paraId="1A56B75B" w14:textId="77777777" w:rsidR="00636838" w:rsidRPr="00636838" w:rsidRDefault="00636838" w:rsidP="0097428C">
      <w:pPr>
        <w:tabs>
          <w:tab w:val="left" w:pos="1134"/>
        </w:tabs>
        <w:autoSpaceDE w:val="0"/>
        <w:autoSpaceDN w:val="0"/>
        <w:adjustRightInd w:val="0"/>
        <w:spacing w:line="360" w:lineRule="auto"/>
        <w:jc w:val="both"/>
        <w:rPr>
          <w:rFonts w:ascii="Arial" w:hAnsi="Arial" w:cs="Arial"/>
          <w:i/>
          <w:iCs/>
        </w:rPr>
      </w:pPr>
      <w:r w:rsidRPr="00636838">
        <w:rPr>
          <w:rFonts w:ascii="Arial" w:hAnsi="Arial" w:cs="Arial"/>
          <w:i/>
          <w:iCs/>
        </w:rPr>
        <w:t>1.- Copia del Manual de Funcionamiento de la Comisión de Admisión de Directores Responsables de Obra y Corresponsables; y</w:t>
      </w:r>
    </w:p>
    <w:p w14:paraId="1D3EF18D" w14:textId="77777777" w:rsidR="00636838" w:rsidRPr="00636838" w:rsidRDefault="00636838" w:rsidP="0097428C">
      <w:pPr>
        <w:tabs>
          <w:tab w:val="left" w:pos="1134"/>
        </w:tabs>
        <w:autoSpaceDE w:val="0"/>
        <w:autoSpaceDN w:val="0"/>
        <w:adjustRightInd w:val="0"/>
        <w:spacing w:line="360" w:lineRule="auto"/>
        <w:jc w:val="both"/>
        <w:rPr>
          <w:rFonts w:ascii="Arial" w:hAnsi="Arial" w:cs="Arial"/>
          <w:i/>
          <w:iCs/>
        </w:rPr>
      </w:pPr>
    </w:p>
    <w:p w14:paraId="4FF24DDE" w14:textId="3C6EAB04" w:rsidR="0097428C" w:rsidRPr="00636838" w:rsidRDefault="00636838" w:rsidP="0097428C">
      <w:pPr>
        <w:tabs>
          <w:tab w:val="left" w:pos="1134"/>
        </w:tabs>
        <w:autoSpaceDE w:val="0"/>
        <w:autoSpaceDN w:val="0"/>
        <w:adjustRightInd w:val="0"/>
        <w:spacing w:line="360" w:lineRule="auto"/>
        <w:jc w:val="both"/>
        <w:rPr>
          <w:rFonts w:ascii="Arial" w:hAnsi="Arial" w:cs="Arial"/>
          <w:i/>
          <w:iCs/>
        </w:rPr>
      </w:pPr>
      <w:r w:rsidRPr="00636838">
        <w:rPr>
          <w:rFonts w:ascii="Arial" w:hAnsi="Arial" w:cs="Arial"/>
          <w:i/>
          <w:iCs/>
        </w:rPr>
        <w:t>2.- Información sobre el vínculo a página web oficial en la cual dicho Manual está publicado</w:t>
      </w:r>
      <w:r w:rsidR="0097428C" w:rsidRPr="00636838">
        <w:rPr>
          <w:rFonts w:ascii="Arial" w:hAnsi="Arial" w:cs="Arial"/>
          <w:i/>
          <w:iCs/>
        </w:rPr>
        <w:t>.</w:t>
      </w:r>
    </w:p>
    <w:p w14:paraId="1DA23024" w14:textId="0F6F47E3" w:rsidR="0097428C" w:rsidRPr="003E16F9" w:rsidRDefault="0097428C" w:rsidP="0097428C">
      <w:pPr>
        <w:pStyle w:val="NormalWeb"/>
        <w:shd w:val="clear" w:color="auto" w:fill="FFFFFF"/>
        <w:spacing w:line="360" w:lineRule="auto"/>
        <w:jc w:val="both"/>
        <w:rPr>
          <w:rFonts w:ascii="Arial" w:eastAsia="Calibri" w:hAnsi="Arial" w:cs="Arial"/>
          <w:bCs/>
        </w:rPr>
      </w:pPr>
      <w:r w:rsidRPr="00D83260">
        <w:rPr>
          <w:rFonts w:ascii="Arial" w:hAnsi="Arial" w:cs="Arial"/>
          <w:iCs/>
        </w:rPr>
        <w:t xml:space="preserve">Consecuentemente, el sujeto obligado dio respuesta por medio </w:t>
      </w:r>
      <w:r w:rsidRPr="00D83260">
        <w:rPr>
          <w:rFonts w:ascii="Arial" w:eastAsia="Calibri" w:hAnsi="Arial" w:cs="Arial"/>
          <w:bCs/>
        </w:rPr>
        <w:t xml:space="preserve">del </w:t>
      </w:r>
      <w:r w:rsidR="00D12487" w:rsidRPr="00513813">
        <w:rPr>
          <w:rFonts w:ascii="Arial" w:eastAsia="Calibri" w:hAnsi="Arial" w:cs="Arial"/>
          <w:bCs/>
        </w:rPr>
        <w:t>oficio</w:t>
      </w:r>
      <w:r w:rsidR="00D12487">
        <w:rPr>
          <w:rFonts w:ascii="Arial" w:eastAsia="Calibri" w:hAnsi="Arial" w:cs="Arial"/>
          <w:bCs/>
        </w:rPr>
        <w:t xml:space="preserve"> </w:t>
      </w:r>
      <w:r w:rsidR="00D12487" w:rsidRPr="0097428C">
        <w:rPr>
          <w:rFonts w:ascii="Arial" w:eastAsia="Calibri" w:hAnsi="Arial" w:cs="Arial"/>
          <w:bCs/>
        </w:rPr>
        <w:t>CDMX/SOBSE/SUT/3601/2021</w:t>
      </w:r>
      <w:r w:rsidR="00D12487">
        <w:rPr>
          <w:rFonts w:ascii="Arial" w:eastAsia="Calibri" w:hAnsi="Arial" w:cs="Arial"/>
          <w:bCs/>
        </w:rPr>
        <w:t xml:space="preserve"> </w:t>
      </w:r>
      <w:r w:rsidR="00D12487" w:rsidRPr="008B2066">
        <w:rPr>
          <w:rFonts w:ascii="Arial" w:eastAsia="Calibri" w:hAnsi="Arial" w:cs="Arial"/>
          <w:bCs/>
        </w:rPr>
        <w:t xml:space="preserve">de fecha </w:t>
      </w:r>
      <w:r w:rsidR="00D12487">
        <w:rPr>
          <w:rFonts w:ascii="Arial" w:eastAsia="Calibri" w:hAnsi="Arial" w:cs="Arial"/>
          <w:bCs/>
        </w:rPr>
        <w:t>19 de octubre</w:t>
      </w:r>
      <w:r w:rsidR="00D12487" w:rsidRPr="008B2066">
        <w:rPr>
          <w:rFonts w:ascii="Arial" w:eastAsia="Calibri" w:hAnsi="Arial" w:cs="Arial"/>
          <w:bCs/>
        </w:rPr>
        <w:t xml:space="preserve"> de 2021, emitido por</w:t>
      </w:r>
      <w:r w:rsidR="00D12487">
        <w:rPr>
          <w:rFonts w:ascii="Arial" w:eastAsia="Calibri" w:hAnsi="Arial" w:cs="Arial"/>
          <w:bCs/>
        </w:rPr>
        <w:t xml:space="preserve"> la Subdirectora de su Unidad de Transparencia</w:t>
      </w:r>
      <w:r w:rsidRPr="00D83260">
        <w:rPr>
          <w:rFonts w:ascii="Arial" w:eastAsia="Calibri" w:hAnsi="Arial" w:cs="Arial"/>
          <w:bCs/>
        </w:rPr>
        <w:t xml:space="preserve">; contestando que, </w:t>
      </w:r>
      <w:r w:rsidR="0011619B" w:rsidRPr="0011619B">
        <w:rPr>
          <w:rFonts w:ascii="Arial" w:hAnsi="Arial" w:cs="Arial"/>
          <w:b/>
          <w:bCs/>
          <w:i/>
          <w:iCs/>
        </w:rPr>
        <w:t>resultaba incompetente para proporcionar lo solicitado</w:t>
      </w:r>
      <w:r w:rsidR="0011619B">
        <w:rPr>
          <w:rFonts w:ascii="Arial" w:hAnsi="Arial" w:cs="Arial"/>
          <w:b/>
          <w:bCs/>
          <w:i/>
          <w:iCs/>
        </w:rPr>
        <w:t xml:space="preserve">, y únicamente </w:t>
      </w:r>
      <w:r w:rsidR="0011619B" w:rsidRPr="0011619B">
        <w:rPr>
          <w:rFonts w:ascii="Arial" w:hAnsi="Arial" w:cs="Arial"/>
          <w:b/>
          <w:bCs/>
          <w:i/>
          <w:iCs/>
        </w:rPr>
        <w:t>orientando a ingresar la solicitud de información ante las unidades de transparencia del Instituto para la Seguridad de las Construcciones en la Ciudad de México y de la Secretaría de Desarrollo</w:t>
      </w:r>
      <w:r w:rsidR="0011619B">
        <w:rPr>
          <w:rFonts w:ascii="Arial" w:hAnsi="Arial" w:cs="Arial"/>
          <w:b/>
          <w:bCs/>
          <w:i/>
          <w:iCs/>
        </w:rPr>
        <w:t xml:space="preserve"> Urbano y Vivienda de esta Ciudad capital (proporcionando los datos de contacto de las mismas)</w:t>
      </w:r>
      <w:r>
        <w:rPr>
          <w:rFonts w:ascii="Arial" w:eastAsia="Calibri" w:hAnsi="Arial" w:cs="Arial"/>
          <w:bCs/>
        </w:rPr>
        <w:t xml:space="preserve">; </w:t>
      </w:r>
      <w:r w:rsidRPr="00460F8A">
        <w:rPr>
          <w:rFonts w:ascii="Arial" w:eastAsia="Calibri" w:hAnsi="Arial" w:cs="Arial"/>
          <w:bCs/>
        </w:rPr>
        <w:t xml:space="preserve">lo anterior, en los términos que fueron precisados en el antecedente II de la presente resolución y </w:t>
      </w:r>
      <w:r>
        <w:rPr>
          <w:rFonts w:ascii="Arial" w:eastAsia="Calibri" w:hAnsi="Arial" w:cs="Arial"/>
          <w:bCs/>
        </w:rPr>
        <w:t xml:space="preserve">a </w:t>
      </w:r>
      <w:r w:rsidRPr="00BD0603">
        <w:rPr>
          <w:rFonts w:ascii="Arial" w:eastAsia="Calibri" w:hAnsi="Arial" w:cs="Arial"/>
          <w:bCs/>
        </w:rPr>
        <w:t>cuyo contenido se remite para su pronta referencia en aras de evitar inútiles repeticiones.</w:t>
      </w:r>
    </w:p>
    <w:p w14:paraId="721D9D88" w14:textId="6A1E3B4B" w:rsidR="0097428C" w:rsidRDefault="0097428C" w:rsidP="0097428C">
      <w:pPr>
        <w:spacing w:line="360" w:lineRule="auto"/>
        <w:jc w:val="both"/>
        <w:textAlignment w:val="baseline"/>
        <w:rPr>
          <w:rFonts w:ascii="Arial" w:hAnsi="Arial" w:cs="Arial"/>
        </w:rPr>
      </w:pPr>
      <w:r w:rsidRPr="00D65A20">
        <w:rPr>
          <w:rFonts w:ascii="Arial" w:hAnsi="Arial" w:cs="Arial"/>
        </w:rPr>
        <w:t xml:space="preserve">Inconforme con </w:t>
      </w:r>
      <w:r w:rsidRPr="00B4506C">
        <w:rPr>
          <w:rFonts w:ascii="Arial" w:hAnsi="Arial" w:cs="Arial"/>
        </w:rPr>
        <w:t>la respuesta del sujeto obligado, la persona recurrente interpuso el presente recurso de revisión</w:t>
      </w:r>
      <w:r>
        <w:rPr>
          <w:rFonts w:ascii="Arial" w:hAnsi="Arial" w:cs="Arial"/>
        </w:rPr>
        <w:t>,</w:t>
      </w:r>
      <w:r w:rsidRPr="00B4506C">
        <w:rPr>
          <w:rFonts w:ascii="Arial" w:hAnsi="Arial" w:cs="Arial"/>
        </w:rPr>
        <w:t xml:space="preserve"> </w:t>
      </w:r>
      <w:r>
        <w:rPr>
          <w:rFonts w:ascii="Arial" w:hAnsi="Arial" w:cs="Arial"/>
        </w:rPr>
        <w:t>de donde se desprende</w:t>
      </w:r>
      <w:r w:rsidR="00CC7E6B">
        <w:rPr>
          <w:rFonts w:ascii="Arial" w:hAnsi="Arial" w:cs="Arial"/>
        </w:rPr>
        <w:t xml:space="preserve">n </w:t>
      </w:r>
      <w:r w:rsidR="00CC7E6B" w:rsidRPr="00630FEA">
        <w:rPr>
          <w:rFonts w:ascii="Arial" w:hAnsi="Arial" w:cs="Arial"/>
        </w:rPr>
        <w:t>3</w:t>
      </w:r>
      <w:r w:rsidRPr="00630FEA">
        <w:rPr>
          <w:rFonts w:ascii="Arial" w:hAnsi="Arial" w:cs="Arial"/>
        </w:rPr>
        <w:t xml:space="preserve"> agravio</w:t>
      </w:r>
      <w:r w:rsidR="00CC7E6B" w:rsidRPr="00630FEA">
        <w:rPr>
          <w:rFonts w:ascii="Arial" w:hAnsi="Arial" w:cs="Arial"/>
        </w:rPr>
        <w:t>s</w:t>
      </w:r>
      <w:r w:rsidR="00867F09" w:rsidRPr="00630FEA">
        <w:rPr>
          <w:rFonts w:ascii="Arial" w:hAnsi="Arial" w:cs="Arial"/>
        </w:rPr>
        <w:t xml:space="preserve">: </w:t>
      </w:r>
      <w:r w:rsidR="00867F09" w:rsidRPr="00630FEA">
        <w:rPr>
          <w:rFonts w:ascii="Arial" w:hAnsi="Arial" w:cs="Arial"/>
          <w:i/>
          <w:iCs/>
        </w:rPr>
        <w:t>El</w:t>
      </w:r>
      <w:r w:rsidR="00867F09" w:rsidRPr="00B629D7">
        <w:rPr>
          <w:rFonts w:ascii="Arial" w:hAnsi="Arial" w:cs="Arial"/>
          <w:i/>
          <w:iCs/>
        </w:rPr>
        <w:t xml:space="preserve"> Primer y Tercer</w:t>
      </w:r>
      <w:r w:rsidR="00867F09">
        <w:rPr>
          <w:rFonts w:ascii="Arial" w:hAnsi="Arial" w:cs="Arial"/>
        </w:rPr>
        <w:t xml:space="preserve"> agravio concernientes a la extemporaneidad de la emisión de la respuesta (falta de </w:t>
      </w:r>
      <w:r w:rsidR="00867F09">
        <w:rPr>
          <w:rFonts w:ascii="Arial" w:hAnsi="Arial" w:cs="Arial"/>
        </w:rPr>
        <w:lastRenderedPageBreak/>
        <w:t xml:space="preserve">respuesta); y el </w:t>
      </w:r>
      <w:r w:rsidR="00867F09" w:rsidRPr="00B629D7">
        <w:rPr>
          <w:rFonts w:ascii="Arial" w:hAnsi="Arial" w:cs="Arial"/>
          <w:i/>
          <w:iCs/>
        </w:rPr>
        <w:t xml:space="preserve">Segundo </w:t>
      </w:r>
      <w:r w:rsidR="00867F09">
        <w:rPr>
          <w:rFonts w:ascii="Arial" w:hAnsi="Arial" w:cs="Arial"/>
        </w:rPr>
        <w:t xml:space="preserve">agravio </w:t>
      </w:r>
      <w:r w:rsidR="00B629D7">
        <w:rPr>
          <w:rFonts w:ascii="Arial" w:hAnsi="Arial" w:cs="Arial"/>
        </w:rPr>
        <w:t xml:space="preserve">en contra </w:t>
      </w:r>
      <w:r w:rsidR="00630FEA">
        <w:rPr>
          <w:rFonts w:ascii="Arial" w:hAnsi="Arial" w:cs="Arial"/>
        </w:rPr>
        <w:t>de</w:t>
      </w:r>
      <w:r w:rsidR="00B629D7">
        <w:rPr>
          <w:rFonts w:ascii="Arial" w:hAnsi="Arial" w:cs="Arial"/>
        </w:rPr>
        <w:t xml:space="preserve"> la incompetencia invocada por el sujeto obligado.</w:t>
      </w:r>
    </w:p>
    <w:p w14:paraId="5973F0A9" w14:textId="4FE4737D" w:rsidR="00B629D7" w:rsidRDefault="00B629D7" w:rsidP="0097428C">
      <w:pPr>
        <w:spacing w:line="360" w:lineRule="auto"/>
        <w:jc w:val="both"/>
        <w:textAlignment w:val="baseline"/>
        <w:rPr>
          <w:rFonts w:ascii="Arial" w:hAnsi="Arial" w:cs="Arial"/>
        </w:rPr>
      </w:pPr>
    </w:p>
    <w:p w14:paraId="46F44D0C" w14:textId="24D58D82" w:rsidR="003B6BCD" w:rsidRDefault="00B629D7" w:rsidP="0097428C">
      <w:pPr>
        <w:spacing w:line="360" w:lineRule="auto"/>
        <w:jc w:val="both"/>
        <w:textAlignment w:val="baseline"/>
        <w:rPr>
          <w:rFonts w:ascii="Arial" w:hAnsi="Arial" w:cs="Arial"/>
        </w:rPr>
      </w:pPr>
      <w:r>
        <w:rPr>
          <w:rFonts w:ascii="Arial" w:hAnsi="Arial" w:cs="Arial"/>
        </w:rPr>
        <w:t xml:space="preserve">Consecuentemente, el </w:t>
      </w:r>
      <w:r w:rsidRPr="00B629D7">
        <w:rPr>
          <w:rFonts w:ascii="Arial" w:hAnsi="Arial" w:cs="Arial"/>
          <w:i/>
          <w:iCs/>
        </w:rPr>
        <w:t>Primer y Tercer</w:t>
      </w:r>
      <w:r>
        <w:rPr>
          <w:rFonts w:ascii="Arial" w:hAnsi="Arial" w:cs="Arial"/>
        </w:rPr>
        <w:t xml:space="preserve"> agravio no serán materia de estudio en el presente recurso de revisión, ya que con independencia de la extemporaneidad en la emisión de la respuesta, al existir agravio de fondo respecto de aquélla por la incompetencia invocada por el sujeto obligado (fracción III del artículo 234 de la Ley de Transparencia), se debe entrar al estudio de fondo</w:t>
      </w:r>
      <w:r w:rsidR="00630FEA">
        <w:rPr>
          <w:rFonts w:ascii="Arial" w:hAnsi="Arial" w:cs="Arial"/>
        </w:rPr>
        <w:t>. Cobrando aplicación el siguiente Criterio emitido por el Pleno de este órgano garante:</w:t>
      </w:r>
      <w:r>
        <w:rPr>
          <w:rFonts w:ascii="Arial" w:hAnsi="Arial" w:cs="Arial"/>
        </w:rPr>
        <w:t xml:space="preserve"> </w:t>
      </w:r>
    </w:p>
    <w:p w14:paraId="13F12F68" w14:textId="77777777" w:rsidR="003B6BCD" w:rsidRPr="00630FEA" w:rsidRDefault="003B6BCD" w:rsidP="003B6BCD">
      <w:pPr>
        <w:pStyle w:val="paragraph"/>
        <w:spacing w:before="0" w:beforeAutospacing="0" w:after="0" w:afterAutospacing="0"/>
        <w:ind w:left="567" w:right="567"/>
        <w:jc w:val="right"/>
        <w:textAlignment w:val="baseline"/>
        <w:rPr>
          <w:rStyle w:val="normaltextrun"/>
          <w:rFonts w:ascii="Calibri" w:hAnsi="Calibri" w:cs="Calibri"/>
          <w:b/>
          <w:bCs/>
          <w:sz w:val="20"/>
          <w:szCs w:val="20"/>
          <w:lang w:val="es-ES"/>
        </w:rPr>
      </w:pPr>
      <w:r w:rsidRPr="00630FEA">
        <w:rPr>
          <w:rStyle w:val="normaltextrun"/>
          <w:rFonts w:ascii="Calibri" w:hAnsi="Calibri" w:cs="Calibri"/>
          <w:b/>
          <w:bCs/>
          <w:sz w:val="20"/>
          <w:szCs w:val="20"/>
          <w:lang w:val="es-ES"/>
        </w:rPr>
        <w:t>CRITERIO 01/21</w:t>
      </w:r>
    </w:p>
    <w:p w14:paraId="26B4713D" w14:textId="77777777" w:rsidR="003B6BCD" w:rsidRPr="00630FEA" w:rsidRDefault="003B6BCD" w:rsidP="003B6BCD">
      <w:pPr>
        <w:pStyle w:val="paragraph"/>
        <w:spacing w:before="0" w:beforeAutospacing="0" w:after="0" w:afterAutospacing="0"/>
        <w:ind w:left="567" w:right="567"/>
        <w:jc w:val="both"/>
        <w:textAlignment w:val="baseline"/>
        <w:rPr>
          <w:rStyle w:val="normaltextrun"/>
          <w:rFonts w:ascii="Calibri" w:hAnsi="Calibri" w:cs="Calibri"/>
          <w:b/>
          <w:bCs/>
          <w:sz w:val="20"/>
          <w:szCs w:val="20"/>
          <w:lang w:val="es-ES"/>
        </w:rPr>
      </w:pPr>
    </w:p>
    <w:p w14:paraId="7368FD6F" w14:textId="77777777" w:rsidR="003B6BCD" w:rsidRPr="003B6BCD" w:rsidRDefault="003B6BCD" w:rsidP="003B6BCD">
      <w:pPr>
        <w:pStyle w:val="paragraph"/>
        <w:spacing w:before="0" w:beforeAutospacing="0" w:after="0" w:afterAutospacing="0"/>
        <w:ind w:left="567" w:right="567"/>
        <w:jc w:val="both"/>
        <w:textAlignment w:val="baseline"/>
        <w:rPr>
          <w:rStyle w:val="normaltextrun"/>
          <w:rFonts w:ascii="Calibri" w:hAnsi="Calibri" w:cs="Calibri"/>
          <w:b/>
          <w:bCs/>
          <w:sz w:val="20"/>
          <w:szCs w:val="20"/>
          <w:lang w:val="es-ES"/>
        </w:rPr>
      </w:pPr>
      <w:r w:rsidRPr="00630FEA">
        <w:rPr>
          <w:rStyle w:val="normaltextrun"/>
          <w:rFonts w:ascii="Calibri" w:hAnsi="Calibri" w:cs="Calibri"/>
          <w:b/>
          <w:bCs/>
          <w:sz w:val="20"/>
          <w:szCs w:val="20"/>
          <w:lang w:val="es-ES"/>
        </w:rPr>
        <w:t xml:space="preserve">Estudio del agravio. Se analizará el fondo de la respuesta extemporánea cuando se impugne su contenido. </w:t>
      </w:r>
      <w:r w:rsidRPr="00630FEA">
        <w:rPr>
          <w:rStyle w:val="normaltextrun"/>
          <w:rFonts w:ascii="Calibri" w:hAnsi="Calibri" w:cs="Calibri"/>
          <w:sz w:val="20"/>
          <w:szCs w:val="20"/>
          <w:lang w:val="es-ES"/>
        </w:rPr>
        <w:t xml:space="preserve">Cuando la parte recurrente interponga un recurso de revisión en donde exponga algún agravio respecto del fondo de una respuesta que haya sido extemporánea, se admitirá bajo alguna de las causales establecidas en el artículo 234 de la Ley de Transparencia, Acceso a la Información Pública y Rendición de Cuentas de la Ciudad de México y no por la establecida en el artículo 235 relacionada con la omisión de respuesta. Ello porque se parte de la premisa de que la pretensión de la parte recurrente es combatir la respuesta que se le otorgó y no así la falta de </w:t>
      </w:r>
      <w:proofErr w:type="gramStart"/>
      <w:r w:rsidRPr="00630FEA">
        <w:rPr>
          <w:rStyle w:val="normaltextrun"/>
          <w:rFonts w:ascii="Calibri" w:hAnsi="Calibri" w:cs="Calibri"/>
          <w:sz w:val="20"/>
          <w:szCs w:val="20"/>
          <w:lang w:val="es-ES"/>
        </w:rPr>
        <w:t>la misma</w:t>
      </w:r>
      <w:proofErr w:type="gramEnd"/>
      <w:r w:rsidRPr="00630FEA">
        <w:rPr>
          <w:rStyle w:val="normaltextrun"/>
          <w:rFonts w:ascii="Calibri" w:hAnsi="Calibri" w:cs="Calibri"/>
          <w:sz w:val="20"/>
          <w:szCs w:val="20"/>
          <w:lang w:val="es-ES"/>
        </w:rPr>
        <w:t>.</w:t>
      </w:r>
    </w:p>
    <w:p w14:paraId="75315D0B" w14:textId="77777777" w:rsidR="0097428C" w:rsidRDefault="0097428C" w:rsidP="0097428C">
      <w:pPr>
        <w:spacing w:line="360" w:lineRule="auto"/>
        <w:jc w:val="both"/>
        <w:textAlignment w:val="baseline"/>
        <w:rPr>
          <w:rFonts w:ascii="Arial" w:hAnsi="Arial" w:cs="Arial"/>
        </w:rPr>
      </w:pPr>
    </w:p>
    <w:p w14:paraId="177E7B20" w14:textId="77777777" w:rsidR="00DE267B" w:rsidRDefault="00DE267B" w:rsidP="00DE267B">
      <w:pPr>
        <w:autoSpaceDE w:val="0"/>
        <w:autoSpaceDN w:val="0"/>
        <w:adjustRightInd w:val="0"/>
        <w:spacing w:line="360" w:lineRule="auto"/>
        <w:jc w:val="both"/>
        <w:rPr>
          <w:rFonts w:ascii="Arial" w:hAnsi="Arial" w:cs="Arial"/>
        </w:rPr>
      </w:pPr>
      <w:r w:rsidRPr="00D44E22">
        <w:rPr>
          <w:rFonts w:ascii="Arial" w:hAnsi="Arial" w:cs="Arial"/>
        </w:rPr>
        <w:t>Una vez admitido a trámite el recurso de revisión, el sujeto obligado al realizar manifestaciones y presentar alegato</w:t>
      </w:r>
      <w:r>
        <w:rPr>
          <w:rFonts w:ascii="Arial" w:hAnsi="Arial" w:cs="Arial"/>
        </w:rPr>
        <w:t>s</w:t>
      </w:r>
      <w:r w:rsidRPr="000A345E">
        <w:rPr>
          <w:rFonts w:ascii="Arial" w:hAnsi="Arial" w:cs="Arial"/>
        </w:rPr>
        <w:t>, reitero su respuesta primigenia; solicitando la confirmación de la misma con fundamento en la fracción III del artículo 244 de la Ley de Transparencia.</w:t>
      </w:r>
    </w:p>
    <w:p w14:paraId="73F74EF6" w14:textId="77777777" w:rsidR="0097428C" w:rsidRPr="00546CAE" w:rsidRDefault="0097428C" w:rsidP="0097428C">
      <w:pPr>
        <w:autoSpaceDE w:val="0"/>
        <w:autoSpaceDN w:val="0"/>
        <w:adjustRightInd w:val="0"/>
        <w:spacing w:line="360" w:lineRule="auto"/>
        <w:jc w:val="both"/>
        <w:rPr>
          <w:rFonts w:ascii="Arial" w:hAnsi="Arial" w:cs="Arial"/>
          <w:color w:val="000000"/>
        </w:rPr>
      </w:pPr>
    </w:p>
    <w:p w14:paraId="719D2F99" w14:textId="6FDADC46" w:rsidR="0097428C" w:rsidRDefault="0097428C" w:rsidP="0097428C">
      <w:pPr>
        <w:autoSpaceDE w:val="0"/>
        <w:autoSpaceDN w:val="0"/>
        <w:adjustRightInd w:val="0"/>
        <w:spacing w:line="360" w:lineRule="auto"/>
        <w:jc w:val="both"/>
        <w:rPr>
          <w:rFonts w:ascii="Arial" w:hAnsi="Arial" w:cs="Arial"/>
          <w:b/>
        </w:rPr>
      </w:pPr>
      <w:r w:rsidRPr="00D65A20">
        <w:rPr>
          <w:rFonts w:ascii="Arial" w:hAnsi="Arial" w:cs="Arial"/>
        </w:rPr>
        <w:t xml:space="preserve">A partir de la descripción de los hechos que obran en las constancias que conforman el expediente del presente recurso de revisión, se advierte que la presente resolución debe </w:t>
      </w:r>
      <w:r w:rsidRPr="009F403F">
        <w:rPr>
          <w:rFonts w:ascii="Arial" w:hAnsi="Arial" w:cs="Arial"/>
        </w:rPr>
        <w:t>resolver</w:t>
      </w:r>
      <w:r w:rsidRPr="00661DB7">
        <w:rPr>
          <w:rFonts w:ascii="Arial" w:hAnsi="Arial" w:cs="Arial"/>
        </w:rPr>
        <w:t xml:space="preserve">: </w:t>
      </w:r>
      <w:r w:rsidRPr="008546EC">
        <w:rPr>
          <w:rFonts w:ascii="Arial" w:hAnsi="Arial" w:cs="Arial"/>
          <w:b/>
        </w:rPr>
        <w:t xml:space="preserve">1) </w:t>
      </w:r>
      <w:r>
        <w:rPr>
          <w:rFonts w:ascii="Arial" w:hAnsi="Arial" w:cs="Arial"/>
          <w:b/>
        </w:rPr>
        <w:t xml:space="preserve">Si el </w:t>
      </w:r>
      <w:r w:rsidR="00286A82">
        <w:rPr>
          <w:rFonts w:ascii="Arial" w:hAnsi="Arial" w:cs="Arial"/>
          <w:b/>
        </w:rPr>
        <w:t>sujeto obligado deviene o no competente para proporcionar lo solicitado.</w:t>
      </w:r>
    </w:p>
    <w:p w14:paraId="03059367" w14:textId="77777777" w:rsidR="007741C6" w:rsidRPr="00CE5407" w:rsidRDefault="007741C6" w:rsidP="0097428C">
      <w:pPr>
        <w:autoSpaceDE w:val="0"/>
        <w:autoSpaceDN w:val="0"/>
        <w:adjustRightInd w:val="0"/>
        <w:spacing w:line="360" w:lineRule="auto"/>
        <w:jc w:val="both"/>
        <w:rPr>
          <w:rFonts w:ascii="Arial" w:hAnsi="Arial" w:cs="Arial"/>
          <w:b/>
        </w:rPr>
      </w:pPr>
    </w:p>
    <w:p w14:paraId="615FFB44" w14:textId="17121804" w:rsidR="00BE1727" w:rsidRDefault="0097428C" w:rsidP="00286A82">
      <w:pPr>
        <w:autoSpaceDE w:val="0"/>
        <w:autoSpaceDN w:val="0"/>
        <w:adjustRightInd w:val="0"/>
        <w:spacing w:line="360" w:lineRule="auto"/>
        <w:jc w:val="both"/>
        <w:rPr>
          <w:rFonts w:ascii="Arial" w:hAnsi="Arial" w:cs="Arial"/>
          <w:b/>
        </w:rPr>
      </w:pPr>
      <w:r w:rsidRPr="00FB5FF3">
        <w:rPr>
          <w:rFonts w:ascii="Arial" w:hAnsi="Arial" w:cs="Arial"/>
          <w:b/>
          <w:bCs/>
        </w:rPr>
        <w:lastRenderedPageBreak/>
        <w:t xml:space="preserve">CUARTA. Estudio de la controversia. </w:t>
      </w:r>
      <w:r w:rsidR="00286A82" w:rsidRPr="00FB5FF3">
        <w:rPr>
          <w:rFonts w:ascii="Arial" w:hAnsi="Arial" w:cs="Arial"/>
        </w:rPr>
        <w:t xml:space="preserve">Una vez hechas las precisiones anteriores, para determinar </w:t>
      </w:r>
      <w:r w:rsidR="00286A82" w:rsidRPr="00FB5FF3">
        <w:rPr>
          <w:rFonts w:ascii="Arial" w:hAnsi="Arial" w:cs="Arial"/>
          <w:b/>
        </w:rPr>
        <w:t xml:space="preserve">si el sujeto obligado deviene o no competente para proporcionar lo solicitado, resulta necesario </w:t>
      </w:r>
      <w:r w:rsidR="00FB5FF3" w:rsidRPr="00FB5FF3">
        <w:rPr>
          <w:rFonts w:ascii="Arial" w:hAnsi="Arial" w:cs="Arial"/>
          <w:b/>
        </w:rPr>
        <w:t>traer a colación la normatividad que deviene aplicable:</w:t>
      </w:r>
    </w:p>
    <w:p w14:paraId="2C300694" w14:textId="77777777" w:rsidR="00FE708E" w:rsidRDefault="00FE708E" w:rsidP="00286A82">
      <w:pPr>
        <w:autoSpaceDE w:val="0"/>
        <w:autoSpaceDN w:val="0"/>
        <w:adjustRightInd w:val="0"/>
        <w:spacing w:line="360" w:lineRule="auto"/>
        <w:jc w:val="both"/>
        <w:rPr>
          <w:rFonts w:ascii="Arial" w:hAnsi="Arial" w:cs="Arial"/>
          <w:b/>
        </w:rPr>
      </w:pPr>
    </w:p>
    <w:p w14:paraId="02AC745E" w14:textId="77777777" w:rsidR="0020350D" w:rsidRPr="00B95ECD" w:rsidRDefault="0020350D" w:rsidP="00B95ECD">
      <w:pPr>
        <w:ind w:left="567" w:right="567"/>
        <w:jc w:val="center"/>
        <w:rPr>
          <w:rFonts w:ascii="Arial" w:hAnsi="Arial" w:cs="Arial"/>
          <w:b/>
          <w:bCs/>
          <w:sz w:val="20"/>
          <w:szCs w:val="20"/>
          <w:u w:val="single"/>
        </w:rPr>
      </w:pPr>
      <w:r w:rsidRPr="00B95ECD">
        <w:rPr>
          <w:rFonts w:ascii="Arial" w:hAnsi="Arial" w:cs="Arial"/>
          <w:b/>
          <w:bCs/>
          <w:sz w:val="20"/>
          <w:szCs w:val="20"/>
          <w:u w:val="single"/>
        </w:rPr>
        <w:t>REGLAMENTO DE CONSTRUCCIONES PARA EL DISTRITO FEDERAL</w:t>
      </w:r>
    </w:p>
    <w:p w14:paraId="7F16A428" w14:textId="77777777" w:rsidR="0020350D" w:rsidRPr="00B95ECD" w:rsidRDefault="0020350D" w:rsidP="00B95ECD">
      <w:pPr>
        <w:autoSpaceDE w:val="0"/>
        <w:autoSpaceDN w:val="0"/>
        <w:adjustRightInd w:val="0"/>
        <w:ind w:left="567" w:right="567"/>
        <w:jc w:val="both"/>
        <w:rPr>
          <w:rFonts w:ascii="Arial" w:hAnsi="Arial" w:cs="Arial"/>
          <w:b/>
          <w:sz w:val="20"/>
          <w:szCs w:val="20"/>
        </w:rPr>
      </w:pPr>
    </w:p>
    <w:p w14:paraId="41F89D61"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ARTÍCULO 2.- Para los efectos del presente Reglamento, se entiende por:</w:t>
      </w:r>
    </w:p>
    <w:p w14:paraId="34B63ACD" w14:textId="6F9A512B" w:rsidR="0020350D" w:rsidRPr="00B95ECD" w:rsidRDefault="0020350D" w:rsidP="00B95ECD">
      <w:pPr>
        <w:autoSpaceDE w:val="0"/>
        <w:autoSpaceDN w:val="0"/>
        <w:adjustRightInd w:val="0"/>
        <w:ind w:left="567" w:right="567"/>
        <w:jc w:val="both"/>
        <w:rPr>
          <w:rFonts w:ascii="Arial" w:hAnsi="Arial" w:cs="Arial"/>
          <w:b/>
          <w:sz w:val="20"/>
          <w:szCs w:val="20"/>
        </w:rPr>
      </w:pPr>
      <w:r w:rsidRPr="00B95ECD">
        <w:rPr>
          <w:rFonts w:ascii="Arial" w:hAnsi="Arial" w:cs="Arial"/>
          <w:b/>
          <w:sz w:val="20"/>
          <w:szCs w:val="20"/>
        </w:rPr>
        <w:t>...</w:t>
      </w:r>
    </w:p>
    <w:p w14:paraId="104978D1" w14:textId="77777777" w:rsidR="0020350D" w:rsidRPr="00B95ECD" w:rsidRDefault="0020350D" w:rsidP="00B95ECD">
      <w:pPr>
        <w:ind w:left="567" w:right="567"/>
        <w:jc w:val="both"/>
        <w:rPr>
          <w:rFonts w:ascii="Arial" w:hAnsi="Arial" w:cs="Arial"/>
          <w:b/>
          <w:bCs/>
          <w:sz w:val="20"/>
          <w:szCs w:val="20"/>
        </w:rPr>
      </w:pPr>
      <w:r w:rsidRPr="00B95ECD">
        <w:rPr>
          <w:rFonts w:ascii="Arial" w:hAnsi="Arial" w:cs="Arial"/>
          <w:sz w:val="20"/>
          <w:szCs w:val="20"/>
        </w:rPr>
        <w:t xml:space="preserve">X. </w:t>
      </w:r>
      <w:r w:rsidRPr="00B95ECD">
        <w:rPr>
          <w:rFonts w:ascii="Arial" w:hAnsi="Arial" w:cs="Arial"/>
          <w:b/>
          <w:bCs/>
          <w:sz w:val="20"/>
          <w:szCs w:val="20"/>
        </w:rPr>
        <w:t>Comisión, a la Comisión de Admisión de Directores Responsables de Obra y Corresponsables;</w:t>
      </w:r>
    </w:p>
    <w:p w14:paraId="0E28DC6E" w14:textId="6E6487F3" w:rsidR="0020350D" w:rsidRPr="00B95ECD" w:rsidRDefault="0020350D" w:rsidP="00B95ECD">
      <w:pPr>
        <w:autoSpaceDE w:val="0"/>
        <w:autoSpaceDN w:val="0"/>
        <w:adjustRightInd w:val="0"/>
        <w:ind w:left="567" w:right="567"/>
        <w:jc w:val="both"/>
        <w:rPr>
          <w:rFonts w:ascii="Arial" w:hAnsi="Arial" w:cs="Arial"/>
          <w:b/>
          <w:sz w:val="20"/>
          <w:szCs w:val="20"/>
        </w:rPr>
      </w:pPr>
      <w:r w:rsidRPr="00B95ECD">
        <w:rPr>
          <w:rFonts w:ascii="Arial" w:hAnsi="Arial" w:cs="Arial"/>
          <w:b/>
          <w:sz w:val="20"/>
          <w:szCs w:val="20"/>
        </w:rPr>
        <w:t>...</w:t>
      </w:r>
    </w:p>
    <w:p w14:paraId="21C06DFD" w14:textId="3DC13023" w:rsidR="0020350D" w:rsidRPr="00B95ECD" w:rsidRDefault="0020350D" w:rsidP="00B95ECD">
      <w:pPr>
        <w:autoSpaceDE w:val="0"/>
        <w:autoSpaceDN w:val="0"/>
        <w:adjustRightInd w:val="0"/>
        <w:ind w:left="567" w:right="567"/>
        <w:jc w:val="both"/>
        <w:rPr>
          <w:rFonts w:ascii="Arial" w:hAnsi="Arial" w:cs="Arial"/>
          <w:b/>
          <w:sz w:val="20"/>
          <w:szCs w:val="20"/>
        </w:rPr>
      </w:pPr>
    </w:p>
    <w:p w14:paraId="1C439358" w14:textId="77777777" w:rsidR="0020350D" w:rsidRPr="00B95ECD" w:rsidRDefault="0020350D" w:rsidP="00B95ECD">
      <w:pPr>
        <w:ind w:left="567" w:right="567"/>
        <w:jc w:val="center"/>
        <w:rPr>
          <w:rFonts w:ascii="Arial" w:hAnsi="Arial" w:cs="Arial"/>
          <w:sz w:val="20"/>
          <w:szCs w:val="20"/>
        </w:rPr>
      </w:pPr>
      <w:r w:rsidRPr="00B95ECD">
        <w:rPr>
          <w:rFonts w:ascii="Arial" w:hAnsi="Arial" w:cs="Arial"/>
          <w:sz w:val="20"/>
          <w:szCs w:val="20"/>
        </w:rPr>
        <w:t>CAPÍTULO IV</w:t>
      </w:r>
    </w:p>
    <w:p w14:paraId="68EFCCF8" w14:textId="10649FB4" w:rsidR="0020350D" w:rsidRPr="00B95ECD" w:rsidRDefault="0020350D" w:rsidP="00B95ECD">
      <w:pPr>
        <w:ind w:left="567" w:right="567"/>
        <w:jc w:val="center"/>
        <w:rPr>
          <w:rFonts w:ascii="Arial" w:hAnsi="Arial" w:cs="Arial"/>
          <w:sz w:val="20"/>
          <w:szCs w:val="20"/>
        </w:rPr>
      </w:pPr>
      <w:r w:rsidRPr="00B95ECD">
        <w:rPr>
          <w:rFonts w:ascii="Arial" w:hAnsi="Arial" w:cs="Arial"/>
          <w:sz w:val="20"/>
          <w:szCs w:val="20"/>
        </w:rPr>
        <w:t>DE LA COMISIÓN DE ADMISIÓN DE DIRECTORES RESPONSABLES DE OBRA Y CORRESPONSABLES</w:t>
      </w:r>
    </w:p>
    <w:p w14:paraId="7F4F8764" w14:textId="290A00B7" w:rsidR="0020350D" w:rsidRPr="00B95ECD" w:rsidRDefault="0020350D" w:rsidP="00B95ECD">
      <w:pPr>
        <w:ind w:left="567" w:right="567"/>
        <w:jc w:val="both"/>
        <w:rPr>
          <w:rFonts w:ascii="Arial" w:hAnsi="Arial" w:cs="Arial"/>
          <w:sz w:val="20"/>
          <w:szCs w:val="20"/>
        </w:rPr>
      </w:pPr>
    </w:p>
    <w:p w14:paraId="268BA5BC"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ARTÍCULO 43.- </w:t>
      </w:r>
      <w:r w:rsidRPr="00B95ECD">
        <w:rPr>
          <w:rFonts w:ascii="Arial" w:hAnsi="Arial" w:cs="Arial"/>
          <w:b/>
          <w:bCs/>
          <w:sz w:val="20"/>
          <w:szCs w:val="20"/>
        </w:rPr>
        <w:t>La Comisión de Admisión de Directores Responsables de Obra y Corresponsables es el Órgano Colegiado al que se refiere la Ley</w:t>
      </w:r>
      <w:r w:rsidRPr="00B95ECD">
        <w:rPr>
          <w:rFonts w:ascii="Arial" w:hAnsi="Arial" w:cs="Arial"/>
          <w:sz w:val="20"/>
          <w:szCs w:val="20"/>
        </w:rPr>
        <w:t xml:space="preserve">. </w:t>
      </w:r>
    </w:p>
    <w:p w14:paraId="0298A1D6" w14:textId="77777777" w:rsidR="0020350D" w:rsidRPr="00B95ECD" w:rsidRDefault="0020350D" w:rsidP="00B95ECD">
      <w:pPr>
        <w:ind w:left="567" w:right="567"/>
        <w:jc w:val="both"/>
        <w:rPr>
          <w:rFonts w:ascii="Arial" w:hAnsi="Arial" w:cs="Arial"/>
          <w:sz w:val="20"/>
          <w:szCs w:val="20"/>
        </w:rPr>
      </w:pPr>
    </w:p>
    <w:p w14:paraId="788381EB"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ARTÍCULO 44.- </w:t>
      </w:r>
      <w:r w:rsidRPr="00B95ECD">
        <w:rPr>
          <w:rFonts w:ascii="Arial" w:hAnsi="Arial" w:cs="Arial"/>
          <w:b/>
          <w:bCs/>
          <w:sz w:val="20"/>
          <w:szCs w:val="20"/>
        </w:rPr>
        <w:t>La Comisión se integra por:</w:t>
      </w:r>
      <w:r w:rsidRPr="00B95ECD">
        <w:rPr>
          <w:rFonts w:ascii="Arial" w:hAnsi="Arial" w:cs="Arial"/>
          <w:sz w:val="20"/>
          <w:szCs w:val="20"/>
        </w:rPr>
        <w:t xml:space="preserve"> </w:t>
      </w:r>
    </w:p>
    <w:p w14:paraId="179BE52C" w14:textId="77777777" w:rsidR="0020350D" w:rsidRPr="00B95ECD" w:rsidRDefault="0020350D" w:rsidP="00B95ECD">
      <w:pPr>
        <w:ind w:left="567" w:right="567"/>
        <w:jc w:val="both"/>
        <w:rPr>
          <w:rFonts w:ascii="Arial" w:hAnsi="Arial" w:cs="Arial"/>
          <w:sz w:val="20"/>
          <w:szCs w:val="20"/>
        </w:rPr>
      </w:pPr>
    </w:p>
    <w:p w14:paraId="49C077CA"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I</w:t>
      </w:r>
      <w:r w:rsidRPr="00B95ECD">
        <w:rPr>
          <w:rFonts w:ascii="Arial" w:hAnsi="Arial" w:cs="Arial"/>
          <w:b/>
          <w:bCs/>
          <w:sz w:val="20"/>
          <w:szCs w:val="20"/>
        </w:rPr>
        <w:t xml:space="preserve">. </w:t>
      </w:r>
      <w:r w:rsidRPr="00B95ECD">
        <w:rPr>
          <w:rFonts w:ascii="Arial" w:hAnsi="Arial" w:cs="Arial"/>
          <w:b/>
          <w:bCs/>
          <w:sz w:val="20"/>
          <w:szCs w:val="20"/>
          <w:u w:val="single"/>
        </w:rPr>
        <w:t>El Secretario de Obras y Servicios, quien la presidirá,</w:t>
      </w:r>
      <w:r w:rsidRPr="00B95ECD">
        <w:rPr>
          <w:rFonts w:ascii="Arial" w:hAnsi="Arial" w:cs="Arial"/>
          <w:b/>
          <w:bCs/>
          <w:sz w:val="20"/>
          <w:szCs w:val="20"/>
        </w:rPr>
        <w:t xml:space="preserve"> el Secretario de Desarrollo Urbano y Vivienda y el Director General del Instituto fungirán como Secretarios Técnicos para presentar los casos que les correspondan en el ámbito de su competencia,</w:t>
      </w:r>
      <w:r w:rsidRPr="00B95ECD">
        <w:rPr>
          <w:rFonts w:ascii="Arial" w:hAnsi="Arial" w:cs="Arial"/>
          <w:sz w:val="20"/>
          <w:szCs w:val="20"/>
        </w:rPr>
        <w:t xml:space="preserve"> </w:t>
      </w:r>
    </w:p>
    <w:p w14:paraId="5CB9BAF1" w14:textId="77777777" w:rsidR="0020350D" w:rsidRPr="00B95ECD" w:rsidRDefault="0020350D" w:rsidP="00B95ECD">
      <w:pPr>
        <w:ind w:left="567" w:right="567"/>
        <w:jc w:val="both"/>
        <w:rPr>
          <w:rFonts w:ascii="Arial" w:hAnsi="Arial" w:cs="Arial"/>
          <w:sz w:val="20"/>
          <w:szCs w:val="20"/>
        </w:rPr>
      </w:pPr>
    </w:p>
    <w:p w14:paraId="75D68EEA"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II. Un representante de cada uno de los Colegios de Profesionales y Cámaras siguientes, a invitación del Presidente de la Comisión: </w:t>
      </w:r>
    </w:p>
    <w:p w14:paraId="7C76731F"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a) Colegio de Arquitectos de la Ciudad de México; </w:t>
      </w:r>
    </w:p>
    <w:p w14:paraId="080C81A2"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b) Colegio de Ingenieros Civiles de México; </w:t>
      </w:r>
    </w:p>
    <w:p w14:paraId="41AC97F0"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c) Colegio de Ingenieros Militares; </w:t>
      </w:r>
    </w:p>
    <w:p w14:paraId="5DBF51E1"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d) Colegio de Ingenieros Municipales de México; </w:t>
      </w:r>
    </w:p>
    <w:p w14:paraId="314EBAA2"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e) Colegio Nacional de Ingenieros Arquitectos de México; </w:t>
      </w:r>
    </w:p>
    <w:p w14:paraId="1341879C"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f) Colegio de Ingenieros Mecánicos Electricistas; </w:t>
      </w:r>
    </w:p>
    <w:p w14:paraId="0BB0D60E"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g) Colegio Mexicano de Ingenieros Civiles; </w:t>
      </w:r>
    </w:p>
    <w:p w14:paraId="099D5119"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h) Cámara Nacional de Empresas de Consultoría, y</w:t>
      </w:r>
    </w:p>
    <w:p w14:paraId="3ECA46A6"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i) Cámara Mexicana de la Industria de la Construcción, Delegación Distrito Federal. </w:t>
      </w:r>
    </w:p>
    <w:p w14:paraId="6C74E100"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j) Colegio Vanguardista de Ingenieros Arquitectos. </w:t>
      </w:r>
    </w:p>
    <w:p w14:paraId="2A5C6BEB" w14:textId="77777777" w:rsidR="0020350D" w:rsidRPr="00B95ECD" w:rsidRDefault="0020350D" w:rsidP="00B95ECD">
      <w:pPr>
        <w:ind w:left="567" w:right="567"/>
        <w:jc w:val="both"/>
        <w:rPr>
          <w:rFonts w:ascii="Arial" w:hAnsi="Arial" w:cs="Arial"/>
          <w:sz w:val="20"/>
          <w:szCs w:val="20"/>
        </w:rPr>
      </w:pPr>
    </w:p>
    <w:p w14:paraId="706F3B7C" w14:textId="77777777" w:rsidR="0020350D" w:rsidRPr="00B95ECD" w:rsidRDefault="0020350D" w:rsidP="00B95ECD">
      <w:pPr>
        <w:ind w:left="567" w:right="567"/>
        <w:jc w:val="both"/>
        <w:rPr>
          <w:rFonts w:ascii="Arial" w:hAnsi="Arial" w:cs="Arial"/>
          <w:sz w:val="20"/>
          <w:szCs w:val="20"/>
        </w:rPr>
      </w:pPr>
      <w:r w:rsidRPr="00B95ECD">
        <w:rPr>
          <w:rFonts w:ascii="Arial" w:hAnsi="Arial" w:cs="Arial"/>
          <w:b/>
          <w:bCs/>
          <w:sz w:val="20"/>
          <w:szCs w:val="20"/>
        </w:rPr>
        <w:t>Todos los miembros de la Comisión deben contar con un suplente.</w:t>
      </w:r>
      <w:r w:rsidRPr="00B95ECD">
        <w:rPr>
          <w:rFonts w:ascii="Arial" w:hAnsi="Arial" w:cs="Arial"/>
          <w:sz w:val="20"/>
          <w:szCs w:val="20"/>
        </w:rPr>
        <w:t xml:space="preserve"> Los representantes de los Colegios y Cámaras deben tener registro vigente de Director Responsable de Obra o </w:t>
      </w:r>
      <w:r w:rsidRPr="00B95ECD">
        <w:rPr>
          <w:rFonts w:ascii="Arial" w:hAnsi="Arial" w:cs="Arial"/>
          <w:sz w:val="20"/>
          <w:szCs w:val="20"/>
        </w:rPr>
        <w:lastRenderedPageBreak/>
        <w:t xml:space="preserve">de Corresponsable y durarán en sus funciones cuatro años. En el caso de que un miembro no pueda cumplir con su periodo, se aplicará para su sustitución lo dispuesto en </w:t>
      </w:r>
      <w:r w:rsidRPr="00B95ECD">
        <w:rPr>
          <w:rFonts w:ascii="Arial" w:hAnsi="Arial" w:cs="Arial"/>
          <w:b/>
          <w:bCs/>
          <w:sz w:val="20"/>
          <w:szCs w:val="20"/>
        </w:rPr>
        <w:t xml:space="preserve">el Manual de funcionamiento. </w:t>
      </w:r>
      <w:r w:rsidRPr="00B95ECD">
        <w:rPr>
          <w:rFonts w:ascii="Arial" w:hAnsi="Arial" w:cs="Arial"/>
          <w:sz w:val="20"/>
          <w:szCs w:val="20"/>
        </w:rPr>
        <w:t xml:space="preserve">Todos los miembros de la Comisión deben contar con un suplente. </w:t>
      </w:r>
    </w:p>
    <w:p w14:paraId="0F80C936" w14:textId="77777777" w:rsidR="0020350D" w:rsidRPr="00B95ECD" w:rsidRDefault="0020350D" w:rsidP="00B95ECD">
      <w:pPr>
        <w:ind w:left="567" w:right="567"/>
        <w:jc w:val="both"/>
        <w:rPr>
          <w:rFonts w:ascii="Arial" w:hAnsi="Arial" w:cs="Arial"/>
          <w:sz w:val="20"/>
          <w:szCs w:val="20"/>
        </w:rPr>
      </w:pPr>
    </w:p>
    <w:p w14:paraId="3AC4FA4C" w14:textId="7649FD21"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Los representantes de los Colegios y Cámaras deben tener registro vigente de Director Responsable de Obra o de Corresponsable y durarán en sus funciones cuatro años. En el caso de que un miembro no pueda cumplir con su periodo, se aplicará para su sustitución lo dispuesto en el </w:t>
      </w:r>
      <w:r w:rsidRPr="00B95ECD">
        <w:rPr>
          <w:rFonts w:ascii="Arial" w:hAnsi="Arial" w:cs="Arial"/>
          <w:b/>
          <w:bCs/>
          <w:sz w:val="20"/>
          <w:szCs w:val="20"/>
        </w:rPr>
        <w:t>Manual de funcionamiento.</w:t>
      </w:r>
    </w:p>
    <w:p w14:paraId="7FCA29D8" w14:textId="77777777" w:rsidR="0020350D" w:rsidRPr="00B95ECD" w:rsidRDefault="0020350D" w:rsidP="00B95ECD">
      <w:pPr>
        <w:ind w:left="567" w:right="567"/>
        <w:jc w:val="both"/>
        <w:rPr>
          <w:rFonts w:ascii="Arial" w:hAnsi="Arial" w:cs="Arial"/>
          <w:sz w:val="20"/>
          <w:szCs w:val="20"/>
        </w:rPr>
      </w:pPr>
    </w:p>
    <w:p w14:paraId="32E75DDE"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ARTÍCULO 45.- La </w:t>
      </w:r>
      <w:r w:rsidRPr="00B95ECD">
        <w:rPr>
          <w:rFonts w:ascii="Arial" w:hAnsi="Arial" w:cs="Arial"/>
          <w:b/>
          <w:bCs/>
          <w:sz w:val="20"/>
          <w:szCs w:val="20"/>
        </w:rPr>
        <w:t>Comisión tiene las siguientes atribuciones</w:t>
      </w:r>
      <w:r w:rsidRPr="00B95ECD">
        <w:rPr>
          <w:rFonts w:ascii="Arial" w:hAnsi="Arial" w:cs="Arial"/>
          <w:sz w:val="20"/>
          <w:szCs w:val="20"/>
        </w:rPr>
        <w:t>:</w:t>
      </w:r>
    </w:p>
    <w:p w14:paraId="66F31C40" w14:textId="43D082A8" w:rsidR="0020350D" w:rsidRPr="00B95ECD" w:rsidRDefault="0020350D" w:rsidP="00B95ECD">
      <w:pPr>
        <w:autoSpaceDE w:val="0"/>
        <w:autoSpaceDN w:val="0"/>
        <w:adjustRightInd w:val="0"/>
        <w:ind w:left="567" w:right="567"/>
        <w:jc w:val="both"/>
        <w:rPr>
          <w:rFonts w:ascii="Arial" w:hAnsi="Arial" w:cs="Arial"/>
          <w:b/>
          <w:sz w:val="20"/>
          <w:szCs w:val="20"/>
        </w:rPr>
      </w:pPr>
      <w:r w:rsidRPr="00B95ECD">
        <w:rPr>
          <w:rFonts w:ascii="Arial" w:hAnsi="Arial" w:cs="Arial"/>
          <w:b/>
          <w:sz w:val="20"/>
          <w:szCs w:val="20"/>
        </w:rPr>
        <w:t>...</w:t>
      </w:r>
    </w:p>
    <w:p w14:paraId="2F8D3BB8" w14:textId="77777777" w:rsidR="0020350D" w:rsidRPr="00B95ECD" w:rsidRDefault="0020350D" w:rsidP="00B95ECD">
      <w:pPr>
        <w:ind w:left="567" w:right="567"/>
        <w:jc w:val="both"/>
        <w:rPr>
          <w:rFonts w:ascii="Arial" w:hAnsi="Arial" w:cs="Arial"/>
          <w:b/>
          <w:bCs/>
          <w:sz w:val="20"/>
          <w:szCs w:val="20"/>
          <w:u w:val="single"/>
        </w:rPr>
      </w:pPr>
      <w:r w:rsidRPr="00B95ECD">
        <w:rPr>
          <w:rFonts w:ascii="Arial" w:hAnsi="Arial" w:cs="Arial"/>
          <w:sz w:val="20"/>
          <w:szCs w:val="20"/>
        </w:rPr>
        <w:t xml:space="preserve">VI. </w:t>
      </w:r>
      <w:r w:rsidRPr="00B95ECD">
        <w:rPr>
          <w:rFonts w:ascii="Arial" w:hAnsi="Arial" w:cs="Arial"/>
          <w:b/>
          <w:bCs/>
          <w:sz w:val="20"/>
          <w:szCs w:val="20"/>
        </w:rPr>
        <w:t xml:space="preserve">Las demás que se establezcan en el </w:t>
      </w:r>
      <w:r w:rsidRPr="00B95ECD">
        <w:rPr>
          <w:rFonts w:ascii="Arial" w:hAnsi="Arial" w:cs="Arial"/>
          <w:b/>
          <w:bCs/>
          <w:sz w:val="20"/>
          <w:szCs w:val="20"/>
          <w:u w:val="single"/>
        </w:rPr>
        <w:t>Manual de Funcionamiento de la Comisión.</w:t>
      </w:r>
    </w:p>
    <w:p w14:paraId="313137F4" w14:textId="61A4AD31" w:rsidR="0020350D" w:rsidRPr="00B95ECD" w:rsidRDefault="0020350D" w:rsidP="00B95ECD">
      <w:pPr>
        <w:autoSpaceDE w:val="0"/>
        <w:autoSpaceDN w:val="0"/>
        <w:adjustRightInd w:val="0"/>
        <w:ind w:left="567" w:right="567"/>
        <w:jc w:val="both"/>
        <w:rPr>
          <w:rFonts w:ascii="Arial" w:hAnsi="Arial" w:cs="Arial"/>
          <w:b/>
          <w:sz w:val="20"/>
          <w:szCs w:val="20"/>
        </w:rPr>
      </w:pPr>
    </w:p>
    <w:p w14:paraId="3B9E7239" w14:textId="77777777" w:rsidR="0020350D"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ARTÍCULO 46.- Para el cumplimiento de las atribuciones a que se refiere el artículo anterior, la Comisión contará con cuatro Comités Técnicos, integrados por profesionales de reconocida experiencia y capacidad técnica, los cuales serán nombrados por la Comisión y deberán contar con registro vigente de Director Responsable de Obra y/o Corresponsable. </w:t>
      </w:r>
    </w:p>
    <w:p w14:paraId="729EED14" w14:textId="77777777" w:rsidR="0020350D" w:rsidRPr="00B95ECD" w:rsidRDefault="0020350D" w:rsidP="00B95ECD">
      <w:pPr>
        <w:ind w:left="567" w:right="567"/>
        <w:jc w:val="both"/>
        <w:rPr>
          <w:rFonts w:ascii="Arial" w:hAnsi="Arial" w:cs="Arial"/>
          <w:sz w:val="20"/>
          <w:szCs w:val="20"/>
        </w:rPr>
      </w:pPr>
    </w:p>
    <w:p w14:paraId="43E9431C" w14:textId="77777777" w:rsidR="001B4D19" w:rsidRPr="00B95ECD" w:rsidRDefault="0020350D" w:rsidP="00B95ECD">
      <w:pPr>
        <w:ind w:left="567" w:right="567"/>
        <w:jc w:val="both"/>
        <w:rPr>
          <w:rFonts w:ascii="Arial" w:hAnsi="Arial" w:cs="Arial"/>
          <w:b/>
          <w:bCs/>
          <w:sz w:val="20"/>
          <w:szCs w:val="20"/>
        </w:rPr>
      </w:pPr>
      <w:r w:rsidRPr="00B95ECD">
        <w:rPr>
          <w:rFonts w:ascii="Arial" w:hAnsi="Arial" w:cs="Arial"/>
          <w:b/>
          <w:bCs/>
          <w:sz w:val="20"/>
          <w:szCs w:val="20"/>
        </w:rPr>
        <w:t xml:space="preserve">El Presidente de la Comisión tiene derecho de veto en la designación de los miembros de los Comités. </w:t>
      </w:r>
    </w:p>
    <w:p w14:paraId="7D80BD4F" w14:textId="77777777" w:rsidR="001B4D19" w:rsidRPr="00B95ECD" w:rsidRDefault="001B4D19" w:rsidP="00B95ECD">
      <w:pPr>
        <w:ind w:left="567" w:right="567"/>
        <w:jc w:val="both"/>
        <w:rPr>
          <w:rFonts w:ascii="Arial" w:hAnsi="Arial" w:cs="Arial"/>
          <w:b/>
          <w:bCs/>
          <w:sz w:val="20"/>
          <w:szCs w:val="20"/>
        </w:rPr>
      </w:pPr>
    </w:p>
    <w:p w14:paraId="3D2EC04D" w14:textId="77777777" w:rsidR="001B4D19"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Dichos Comités quedarán integrados de la siguiente forma: </w:t>
      </w:r>
    </w:p>
    <w:p w14:paraId="5EB319CB" w14:textId="77777777" w:rsidR="001B4D19" w:rsidRPr="00B95ECD" w:rsidRDefault="001B4D19" w:rsidP="00B95ECD">
      <w:pPr>
        <w:ind w:left="567" w:right="567"/>
        <w:jc w:val="both"/>
        <w:rPr>
          <w:rFonts w:ascii="Arial" w:hAnsi="Arial" w:cs="Arial"/>
          <w:sz w:val="20"/>
          <w:szCs w:val="20"/>
        </w:rPr>
      </w:pPr>
    </w:p>
    <w:p w14:paraId="24AAF5F2" w14:textId="77777777" w:rsidR="001B4D19"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I. Un Comité Técnico de Directores Responsables de Obra, integrado por un Corresponsable en Seguridad Estructural, un Corresponsable en Diseño Urbano y Arquitectónico, un Corresponsable en Instalaciones y tres Directores Responsables de Obra. </w:t>
      </w:r>
    </w:p>
    <w:p w14:paraId="40F4C2A2" w14:textId="77777777" w:rsidR="001B4D19"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II. Tres Comités Técnicos de Corresponsables, uno por cada una de las siguientes disciplinas: seguridad estructural, diseño urbano y arquitectónico, e instalaciones. Se formará cada cual, con seis Corresponsables en la disciplina correspondiente, representantes de los Colegios y las Cámaras referidos en el Artículo 44 fracción ; </w:t>
      </w:r>
    </w:p>
    <w:p w14:paraId="6CF53C85" w14:textId="77777777" w:rsidR="001B4D19"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III. Los Comités evaluarán los conocimientos de los aspirantes a Director Responsable de Obra y/o Corresponsables a que se refieren la fracción II del artículo 33 y la fracción II del artículo 37, debiendo emitir el dictamen correspondiente y enviarlo a la Comisión, para los efectos conducentes, y </w:t>
      </w:r>
    </w:p>
    <w:p w14:paraId="36351E39" w14:textId="77777777" w:rsidR="001B4D19" w:rsidRPr="00B95ECD" w:rsidRDefault="0020350D" w:rsidP="00B95ECD">
      <w:pPr>
        <w:ind w:left="567" w:right="567"/>
        <w:jc w:val="both"/>
        <w:rPr>
          <w:rFonts w:ascii="Arial" w:hAnsi="Arial" w:cs="Arial"/>
          <w:sz w:val="20"/>
          <w:szCs w:val="20"/>
        </w:rPr>
      </w:pPr>
      <w:r w:rsidRPr="00B95ECD">
        <w:rPr>
          <w:rFonts w:ascii="Arial" w:hAnsi="Arial" w:cs="Arial"/>
          <w:sz w:val="20"/>
          <w:szCs w:val="20"/>
        </w:rPr>
        <w:t xml:space="preserve">IV. Los miembros de los Comités durarán en sus funciones hasta por un periodo de cuatro años. </w:t>
      </w:r>
    </w:p>
    <w:p w14:paraId="4363BF07" w14:textId="77777777" w:rsidR="001B4D19" w:rsidRPr="00B95ECD" w:rsidRDefault="001B4D19" w:rsidP="00B95ECD">
      <w:pPr>
        <w:ind w:left="567" w:right="567"/>
        <w:jc w:val="both"/>
        <w:rPr>
          <w:rFonts w:ascii="Arial" w:hAnsi="Arial" w:cs="Arial"/>
          <w:sz w:val="20"/>
          <w:szCs w:val="20"/>
        </w:rPr>
      </w:pPr>
    </w:p>
    <w:p w14:paraId="738D52E0" w14:textId="2ED52E73" w:rsidR="0020350D" w:rsidRPr="00B95ECD" w:rsidRDefault="0020350D" w:rsidP="00B95ECD">
      <w:pPr>
        <w:ind w:left="567" w:right="567"/>
        <w:jc w:val="both"/>
        <w:rPr>
          <w:rFonts w:ascii="Arial" w:hAnsi="Arial" w:cs="Arial"/>
          <w:b/>
          <w:bCs/>
          <w:sz w:val="20"/>
          <w:szCs w:val="20"/>
          <w:u w:val="single"/>
        </w:rPr>
      </w:pPr>
      <w:r w:rsidRPr="00B95ECD">
        <w:rPr>
          <w:rFonts w:ascii="Arial" w:hAnsi="Arial" w:cs="Arial"/>
          <w:b/>
          <w:bCs/>
          <w:sz w:val="20"/>
          <w:szCs w:val="20"/>
          <w:u w:val="single"/>
        </w:rPr>
        <w:t>El Secretario de Obras y Servicios expedirá los Manuales de Funcionamiento de la Comisión y de sus Comités Técnicos de conformidad con la normativa aplicable. Dichos manuales deberán publicarse en la Gaceta Oficial del Distrito Federal.</w:t>
      </w:r>
    </w:p>
    <w:p w14:paraId="05950AF2" w14:textId="77777777" w:rsidR="0020350D" w:rsidRPr="00B95ECD" w:rsidRDefault="0020350D" w:rsidP="00B95ECD">
      <w:pPr>
        <w:autoSpaceDE w:val="0"/>
        <w:autoSpaceDN w:val="0"/>
        <w:adjustRightInd w:val="0"/>
        <w:ind w:left="567" w:right="567"/>
        <w:jc w:val="both"/>
        <w:rPr>
          <w:rFonts w:ascii="Arial" w:hAnsi="Arial" w:cs="Arial"/>
          <w:b/>
          <w:sz w:val="20"/>
          <w:szCs w:val="20"/>
        </w:rPr>
      </w:pPr>
    </w:p>
    <w:p w14:paraId="195C8D3A" w14:textId="7CDC8156" w:rsidR="0074237F" w:rsidRPr="00B95ECD" w:rsidRDefault="00286A82" w:rsidP="00B95ECD">
      <w:pPr>
        <w:autoSpaceDE w:val="0"/>
        <w:autoSpaceDN w:val="0"/>
        <w:adjustRightInd w:val="0"/>
        <w:ind w:left="567" w:right="567"/>
        <w:jc w:val="both"/>
        <w:rPr>
          <w:rFonts w:ascii="Arial" w:hAnsi="Arial" w:cs="Arial"/>
          <w:bCs/>
          <w:sz w:val="20"/>
          <w:szCs w:val="20"/>
        </w:rPr>
      </w:pPr>
      <w:r w:rsidRPr="00B95ECD">
        <w:rPr>
          <w:rFonts w:ascii="Arial" w:hAnsi="Arial" w:cs="Arial"/>
          <w:sz w:val="20"/>
          <w:szCs w:val="20"/>
        </w:rPr>
        <w:t xml:space="preserve"> </w:t>
      </w:r>
    </w:p>
    <w:p w14:paraId="325AC491" w14:textId="7E7C29EB" w:rsidR="0074237F" w:rsidRPr="00B95ECD" w:rsidRDefault="009A099B" w:rsidP="00FB5FF3">
      <w:pPr>
        <w:autoSpaceDE w:val="0"/>
        <w:autoSpaceDN w:val="0"/>
        <w:adjustRightInd w:val="0"/>
        <w:ind w:left="567" w:right="567"/>
        <w:jc w:val="center"/>
        <w:rPr>
          <w:rFonts w:ascii="Arial" w:hAnsi="Arial" w:cs="Arial"/>
          <w:bCs/>
          <w:sz w:val="20"/>
          <w:szCs w:val="20"/>
        </w:rPr>
      </w:pPr>
      <w:r>
        <w:rPr>
          <w:rFonts w:ascii="Arial" w:hAnsi="Arial" w:cs="Arial"/>
          <w:bCs/>
          <w:noProof/>
          <w:sz w:val="20"/>
          <w:szCs w:val="20"/>
        </w:rPr>
        <w:lastRenderedPageBreak/>
        <mc:AlternateContent>
          <mc:Choice Requires="wps">
            <w:drawing>
              <wp:anchor distT="0" distB="0" distL="114300" distR="114300" simplePos="0" relativeHeight="251663360" behindDoc="0" locked="0" layoutInCell="1" allowOverlap="1" wp14:anchorId="7C6113BA" wp14:editId="6B6B024B">
                <wp:simplePos x="0" y="0"/>
                <wp:positionH relativeFrom="column">
                  <wp:posOffset>2132477</wp:posOffset>
                </wp:positionH>
                <wp:positionV relativeFrom="paragraph">
                  <wp:posOffset>2610290</wp:posOffset>
                </wp:positionV>
                <wp:extent cx="1867876" cy="382953"/>
                <wp:effectExtent l="12700" t="12700" r="24765" b="23495"/>
                <wp:wrapNone/>
                <wp:docPr id="22" name="Rectángulo 22"/>
                <wp:cNvGraphicFramePr/>
                <a:graphic xmlns:a="http://schemas.openxmlformats.org/drawingml/2006/main">
                  <a:graphicData uri="http://schemas.microsoft.com/office/word/2010/wordprocessingShape">
                    <wps:wsp>
                      <wps:cNvSpPr/>
                      <wps:spPr>
                        <a:xfrm>
                          <a:off x="0" y="0"/>
                          <a:ext cx="1867876" cy="382953"/>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61301" id="Rectángulo 22" o:spid="_x0000_s1026" style="position:absolute;margin-left:167.9pt;margin-top:205.55pt;width:147.1pt;height:3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" filled="f" strokecolor="red" strokeweight="3.25pt"/>
            </w:pict>
          </mc:Fallback>
        </mc:AlternateContent>
      </w:r>
      <w:r w:rsidR="00BE1727">
        <w:rPr>
          <w:rFonts w:ascii="Arial" w:hAnsi="Arial" w:cs="Arial"/>
          <w:bCs/>
          <w:noProof/>
          <w:sz w:val="20"/>
          <w:szCs w:val="20"/>
        </w:rPr>
        <mc:AlternateContent>
          <mc:Choice Requires="wps">
            <w:drawing>
              <wp:anchor distT="0" distB="0" distL="114300" distR="114300" simplePos="0" relativeHeight="251662336" behindDoc="0" locked="0" layoutInCell="1" allowOverlap="1" wp14:anchorId="775B5E60" wp14:editId="0C679425">
                <wp:simplePos x="0" y="0"/>
                <wp:positionH relativeFrom="column">
                  <wp:posOffset>1007061</wp:posOffset>
                </wp:positionH>
                <wp:positionV relativeFrom="paragraph">
                  <wp:posOffset>4173367</wp:posOffset>
                </wp:positionV>
                <wp:extent cx="4017108" cy="367323"/>
                <wp:effectExtent l="12700" t="12700" r="21590" b="26670"/>
                <wp:wrapNone/>
                <wp:docPr id="21" name="Rectángulo 21"/>
                <wp:cNvGraphicFramePr/>
                <a:graphic xmlns:a="http://schemas.openxmlformats.org/drawingml/2006/main">
                  <a:graphicData uri="http://schemas.microsoft.com/office/word/2010/wordprocessingShape">
                    <wps:wsp>
                      <wps:cNvSpPr/>
                      <wps:spPr>
                        <a:xfrm>
                          <a:off x="0" y="0"/>
                          <a:ext cx="4017108" cy="367323"/>
                        </a:xfrm>
                        <a:prstGeom prst="rect">
                          <a:avLst/>
                        </a:prstGeom>
                        <a:noFill/>
                        <a:ln w="412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D2C4C" id="Rectángulo 21" o:spid="_x0000_s1026" style="position:absolute;margin-left:79.3pt;margin-top:328.6pt;width:316.3pt;height:28.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" filled="f" strokecolor="red" strokeweight="3.25pt"/>
            </w:pict>
          </mc:Fallback>
        </mc:AlternateContent>
      </w:r>
      <w:r w:rsidR="0074237F" w:rsidRPr="00B95ECD">
        <w:rPr>
          <w:rFonts w:ascii="Arial" w:hAnsi="Arial" w:cs="Arial"/>
          <w:bCs/>
          <w:noProof/>
          <w:sz w:val="20"/>
          <w:szCs w:val="20"/>
        </w:rPr>
        <w:drawing>
          <wp:inline distT="0" distB="0" distL="0" distR="0" wp14:anchorId="2A402F78" wp14:editId="33F2E3C8">
            <wp:extent cx="4602187" cy="601704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cstate="print">
                      <a:extLst>
                        <a:ext uri="{28A0092B-C50C-407E-A947-70E740481C1C}">
                          <a14:useLocalDpi xmlns:a14="http://schemas.microsoft.com/office/drawing/2010/main" val="0"/>
                        </a:ext>
                      </a:extLst>
                    </a:blip>
                    <a:srcRect l="30294" t="15307" r="30370" b="2400"/>
                    <a:stretch/>
                  </pic:blipFill>
                  <pic:spPr bwMode="auto">
                    <a:xfrm>
                      <a:off x="0" y="0"/>
                      <a:ext cx="4611502" cy="6029227"/>
                    </a:xfrm>
                    <a:prstGeom prst="rect">
                      <a:avLst/>
                    </a:prstGeom>
                    <a:ln>
                      <a:noFill/>
                    </a:ln>
                    <a:extLst>
                      <a:ext uri="{53640926-AAD7-44D8-BBD7-CCE9431645EC}">
                        <a14:shadowObscured xmlns:a14="http://schemas.microsoft.com/office/drawing/2010/main"/>
                      </a:ext>
                    </a:extLst>
                  </pic:spPr>
                </pic:pic>
              </a:graphicData>
            </a:graphic>
          </wp:inline>
        </w:drawing>
      </w:r>
    </w:p>
    <w:p w14:paraId="11CD3B27" w14:textId="649789DD" w:rsidR="0074237F" w:rsidRPr="00B95ECD" w:rsidRDefault="0074237F" w:rsidP="00FB5FF3">
      <w:pPr>
        <w:autoSpaceDE w:val="0"/>
        <w:autoSpaceDN w:val="0"/>
        <w:adjustRightInd w:val="0"/>
        <w:ind w:left="567" w:right="567"/>
        <w:jc w:val="center"/>
        <w:rPr>
          <w:rFonts w:ascii="Arial" w:hAnsi="Arial" w:cs="Arial"/>
          <w:bCs/>
          <w:sz w:val="20"/>
          <w:szCs w:val="20"/>
        </w:rPr>
      </w:pPr>
      <w:r w:rsidRPr="00B95ECD">
        <w:rPr>
          <w:rFonts w:ascii="Arial" w:hAnsi="Arial" w:cs="Arial"/>
          <w:bCs/>
          <w:noProof/>
          <w:sz w:val="20"/>
          <w:szCs w:val="20"/>
        </w:rPr>
        <w:lastRenderedPageBreak/>
        <w:drawing>
          <wp:inline distT="0" distB="0" distL="0" distR="0" wp14:anchorId="2490C84A" wp14:editId="72DAD0B6">
            <wp:extent cx="4251569" cy="5478531"/>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cstate="print">
                      <a:extLst>
                        <a:ext uri="{28A0092B-C50C-407E-A947-70E740481C1C}">
                          <a14:useLocalDpi xmlns:a14="http://schemas.microsoft.com/office/drawing/2010/main" val="0"/>
                        </a:ext>
                      </a:extLst>
                    </a:blip>
                    <a:srcRect l="30162" t="15307" r="30237" b="3038"/>
                    <a:stretch/>
                  </pic:blipFill>
                  <pic:spPr bwMode="auto">
                    <a:xfrm>
                      <a:off x="0" y="0"/>
                      <a:ext cx="4260981" cy="5490659"/>
                    </a:xfrm>
                    <a:prstGeom prst="rect">
                      <a:avLst/>
                    </a:prstGeom>
                    <a:ln>
                      <a:noFill/>
                    </a:ln>
                    <a:extLst>
                      <a:ext uri="{53640926-AAD7-44D8-BBD7-CCE9431645EC}">
                        <a14:shadowObscured xmlns:a14="http://schemas.microsoft.com/office/drawing/2010/main"/>
                      </a:ext>
                    </a:extLst>
                  </pic:spPr>
                </pic:pic>
              </a:graphicData>
            </a:graphic>
          </wp:inline>
        </w:drawing>
      </w:r>
    </w:p>
    <w:p w14:paraId="35A398B3" w14:textId="60D21006" w:rsidR="0074237F" w:rsidRPr="00B95ECD" w:rsidRDefault="009A099B" w:rsidP="00FB5FF3">
      <w:pPr>
        <w:autoSpaceDE w:val="0"/>
        <w:autoSpaceDN w:val="0"/>
        <w:adjustRightInd w:val="0"/>
        <w:ind w:left="567" w:right="567"/>
        <w:jc w:val="center"/>
        <w:rPr>
          <w:rFonts w:ascii="Arial" w:hAnsi="Arial" w:cs="Arial"/>
          <w:bCs/>
          <w:sz w:val="20"/>
          <w:szCs w:val="20"/>
        </w:rPr>
      </w:pPr>
      <w:r>
        <w:rPr>
          <w:rFonts w:ascii="Arial" w:hAnsi="Arial" w:cs="Arial"/>
          <w:bCs/>
          <w:noProof/>
          <w:sz w:val="20"/>
          <w:szCs w:val="20"/>
        </w:rPr>
        <w:lastRenderedPageBreak/>
        <mc:AlternateContent>
          <mc:Choice Requires="wps">
            <w:drawing>
              <wp:anchor distT="0" distB="0" distL="114300" distR="114300" simplePos="0" relativeHeight="251664384" behindDoc="0" locked="0" layoutInCell="1" allowOverlap="1" wp14:anchorId="75BD9F61" wp14:editId="2239C44E">
                <wp:simplePos x="0" y="0"/>
                <wp:positionH relativeFrom="column">
                  <wp:posOffset>1014877</wp:posOffset>
                </wp:positionH>
                <wp:positionV relativeFrom="paragraph">
                  <wp:posOffset>3462167</wp:posOffset>
                </wp:positionV>
                <wp:extent cx="3860800" cy="304800"/>
                <wp:effectExtent l="12700" t="12700" r="25400" b="25400"/>
                <wp:wrapNone/>
                <wp:docPr id="23" name="Rectángulo 23"/>
                <wp:cNvGraphicFramePr/>
                <a:graphic xmlns:a="http://schemas.openxmlformats.org/drawingml/2006/main">
                  <a:graphicData uri="http://schemas.microsoft.com/office/word/2010/wordprocessingShape">
                    <wps:wsp>
                      <wps:cNvSpPr/>
                      <wps:spPr>
                        <a:xfrm>
                          <a:off x="0" y="0"/>
                          <a:ext cx="386080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E1CEA" id="Rectángulo 23" o:spid="_x0000_s1026" style="position:absolute;margin-left:79.9pt;margin-top:272.6pt;width:304pt;height: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" filled="f" strokecolor="red" strokeweight="3pt"/>
            </w:pict>
          </mc:Fallback>
        </mc:AlternateContent>
      </w:r>
      <w:r w:rsidR="0074237F" w:rsidRPr="00B95ECD">
        <w:rPr>
          <w:rFonts w:ascii="Arial" w:hAnsi="Arial" w:cs="Arial"/>
          <w:bCs/>
          <w:noProof/>
          <w:sz w:val="20"/>
          <w:szCs w:val="20"/>
        </w:rPr>
        <w:drawing>
          <wp:inline distT="0" distB="0" distL="0" distR="0" wp14:anchorId="3C535763" wp14:editId="662A9A7F">
            <wp:extent cx="4602187" cy="59457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14" cstate="print">
                      <a:extLst>
                        <a:ext uri="{28A0092B-C50C-407E-A947-70E740481C1C}">
                          <a14:useLocalDpi xmlns:a14="http://schemas.microsoft.com/office/drawing/2010/main" val="0"/>
                        </a:ext>
                      </a:extLst>
                    </a:blip>
                    <a:srcRect l="30162" t="16371" r="30242" b="1774"/>
                    <a:stretch/>
                  </pic:blipFill>
                  <pic:spPr bwMode="auto">
                    <a:xfrm>
                      <a:off x="0" y="0"/>
                      <a:ext cx="4608473" cy="5953877"/>
                    </a:xfrm>
                    <a:prstGeom prst="rect">
                      <a:avLst/>
                    </a:prstGeom>
                    <a:ln>
                      <a:noFill/>
                    </a:ln>
                    <a:extLst>
                      <a:ext uri="{53640926-AAD7-44D8-BBD7-CCE9431645EC}">
                        <a14:shadowObscured xmlns:a14="http://schemas.microsoft.com/office/drawing/2010/main"/>
                      </a:ext>
                    </a:extLst>
                  </pic:spPr>
                </pic:pic>
              </a:graphicData>
            </a:graphic>
          </wp:inline>
        </w:drawing>
      </w:r>
    </w:p>
    <w:p w14:paraId="283FF088" w14:textId="77777777" w:rsidR="0074237F" w:rsidRPr="00B95ECD" w:rsidRDefault="0074237F" w:rsidP="00B95ECD">
      <w:pPr>
        <w:autoSpaceDE w:val="0"/>
        <w:autoSpaceDN w:val="0"/>
        <w:adjustRightInd w:val="0"/>
        <w:ind w:left="567" w:right="567"/>
        <w:jc w:val="both"/>
        <w:rPr>
          <w:rFonts w:ascii="Arial" w:hAnsi="Arial" w:cs="Arial"/>
          <w:bCs/>
          <w:sz w:val="20"/>
          <w:szCs w:val="20"/>
        </w:rPr>
      </w:pPr>
    </w:p>
    <w:p w14:paraId="3E631A34" w14:textId="77777777" w:rsidR="0074237F" w:rsidRDefault="0074237F" w:rsidP="0097428C">
      <w:pPr>
        <w:autoSpaceDE w:val="0"/>
        <w:autoSpaceDN w:val="0"/>
        <w:adjustRightInd w:val="0"/>
        <w:spacing w:line="360" w:lineRule="auto"/>
        <w:jc w:val="both"/>
        <w:rPr>
          <w:rFonts w:ascii="Arial" w:hAnsi="Arial" w:cs="Arial"/>
          <w:bCs/>
        </w:rPr>
      </w:pPr>
    </w:p>
    <w:p w14:paraId="0E3B5306" w14:textId="77777777" w:rsidR="0074237F" w:rsidRDefault="0074237F" w:rsidP="0097428C">
      <w:pPr>
        <w:autoSpaceDE w:val="0"/>
        <w:autoSpaceDN w:val="0"/>
        <w:adjustRightInd w:val="0"/>
        <w:spacing w:line="360" w:lineRule="auto"/>
        <w:jc w:val="both"/>
        <w:rPr>
          <w:rFonts w:ascii="Arial" w:hAnsi="Arial" w:cs="Arial"/>
          <w:bCs/>
        </w:rPr>
      </w:pPr>
    </w:p>
    <w:p w14:paraId="58C1C90C" w14:textId="67F027B9" w:rsidR="0074237F" w:rsidRDefault="007C675A" w:rsidP="006016D6">
      <w:pPr>
        <w:autoSpaceDE w:val="0"/>
        <w:autoSpaceDN w:val="0"/>
        <w:adjustRightInd w:val="0"/>
        <w:spacing w:line="360" w:lineRule="auto"/>
        <w:jc w:val="both"/>
        <w:rPr>
          <w:rFonts w:ascii="Arial" w:hAnsi="Arial" w:cs="Arial"/>
          <w:bCs/>
        </w:rPr>
      </w:pPr>
      <w:r>
        <w:rPr>
          <w:rFonts w:ascii="Arial" w:hAnsi="Arial" w:cs="Arial"/>
          <w:bCs/>
        </w:rPr>
        <w:lastRenderedPageBreak/>
        <w:t>Asi pues,</w:t>
      </w:r>
      <w:r w:rsidR="006016D6">
        <w:rPr>
          <w:rFonts w:ascii="Arial" w:hAnsi="Arial" w:cs="Arial"/>
          <w:bCs/>
        </w:rPr>
        <w:t xml:space="preserve"> de la normativad anterior se destaca lo siguiente:</w:t>
      </w:r>
    </w:p>
    <w:p w14:paraId="369D1DDF" w14:textId="448FD5CB" w:rsidR="006016D6" w:rsidRDefault="006016D6" w:rsidP="006016D6">
      <w:pPr>
        <w:autoSpaceDE w:val="0"/>
        <w:autoSpaceDN w:val="0"/>
        <w:adjustRightInd w:val="0"/>
        <w:spacing w:line="360" w:lineRule="auto"/>
        <w:jc w:val="both"/>
        <w:rPr>
          <w:rFonts w:ascii="Arial" w:hAnsi="Arial" w:cs="Arial"/>
          <w:bCs/>
        </w:rPr>
      </w:pPr>
    </w:p>
    <w:p w14:paraId="5D09A828" w14:textId="10664774" w:rsidR="006016D6" w:rsidRPr="002E651F" w:rsidRDefault="006016D6" w:rsidP="002E651F">
      <w:pPr>
        <w:pStyle w:val="Prrafodelista"/>
        <w:numPr>
          <w:ilvl w:val="0"/>
          <w:numId w:val="4"/>
        </w:numPr>
        <w:autoSpaceDE w:val="0"/>
        <w:autoSpaceDN w:val="0"/>
        <w:adjustRightInd w:val="0"/>
        <w:spacing w:line="360" w:lineRule="auto"/>
        <w:jc w:val="both"/>
        <w:rPr>
          <w:rFonts w:ascii="Arial" w:hAnsi="Arial" w:cs="Arial"/>
          <w:b/>
        </w:rPr>
      </w:pPr>
      <w:r w:rsidRPr="002E651F">
        <w:rPr>
          <w:rFonts w:ascii="Arial" w:hAnsi="Arial" w:cs="Arial"/>
          <w:bCs/>
        </w:rPr>
        <w:t xml:space="preserve">Que el </w:t>
      </w:r>
      <w:r w:rsidRPr="002E651F">
        <w:rPr>
          <w:rFonts w:ascii="Arial" w:hAnsi="Arial" w:cs="Arial"/>
          <w:b/>
        </w:rPr>
        <w:t xml:space="preserve">Reglamento de Construcciones de esta Ciudad sufrió reformas </w:t>
      </w:r>
      <w:r w:rsidRPr="002E651F">
        <w:rPr>
          <w:rFonts w:ascii="Arial" w:hAnsi="Arial" w:cs="Arial"/>
          <w:b/>
          <w:u w:val="single"/>
        </w:rPr>
        <w:t>mediante decreto publicado en el Gaceta Oficial de la Ciudad de México con fecha 2 de abril de 2019</w:t>
      </w:r>
      <w:r w:rsidRPr="002E651F">
        <w:rPr>
          <w:rFonts w:ascii="Arial" w:hAnsi="Arial" w:cs="Arial"/>
          <w:b/>
        </w:rPr>
        <w:t>.</w:t>
      </w:r>
    </w:p>
    <w:p w14:paraId="3ECFD9CC" w14:textId="46E34AD7" w:rsidR="006016D6" w:rsidRPr="002E651F" w:rsidRDefault="006016D6" w:rsidP="006016D6">
      <w:pPr>
        <w:autoSpaceDE w:val="0"/>
        <w:autoSpaceDN w:val="0"/>
        <w:adjustRightInd w:val="0"/>
        <w:spacing w:line="360" w:lineRule="auto"/>
        <w:jc w:val="both"/>
        <w:rPr>
          <w:rFonts w:ascii="Arial" w:hAnsi="Arial" w:cs="Arial"/>
          <w:bCs/>
        </w:rPr>
      </w:pPr>
    </w:p>
    <w:p w14:paraId="18BAEAE2" w14:textId="058A9DD8" w:rsidR="006016D6" w:rsidRPr="002E651F" w:rsidRDefault="006016D6" w:rsidP="002E651F">
      <w:pPr>
        <w:pStyle w:val="Prrafodelista"/>
        <w:numPr>
          <w:ilvl w:val="0"/>
          <w:numId w:val="4"/>
        </w:numPr>
        <w:autoSpaceDE w:val="0"/>
        <w:autoSpaceDN w:val="0"/>
        <w:adjustRightInd w:val="0"/>
        <w:spacing w:line="360" w:lineRule="auto"/>
        <w:jc w:val="both"/>
        <w:rPr>
          <w:rFonts w:ascii="Arial" w:hAnsi="Arial" w:cs="Arial"/>
          <w:b/>
          <w:u w:val="single"/>
        </w:rPr>
      </w:pPr>
      <w:r w:rsidRPr="002E651F">
        <w:rPr>
          <w:rFonts w:ascii="Arial" w:hAnsi="Arial" w:cs="Arial"/>
          <w:bCs/>
        </w:rPr>
        <w:t xml:space="preserve">Que dicho decreto </w:t>
      </w:r>
      <w:r w:rsidRPr="002E651F">
        <w:rPr>
          <w:rFonts w:ascii="Arial" w:hAnsi="Arial" w:cs="Arial"/>
          <w:b/>
        </w:rPr>
        <w:t xml:space="preserve">entró en vigor al día siguiente de su publicación, es decir, el </w:t>
      </w:r>
      <w:r w:rsidRPr="002E651F">
        <w:rPr>
          <w:rFonts w:ascii="Arial" w:hAnsi="Arial" w:cs="Arial"/>
          <w:b/>
          <w:u w:val="single"/>
        </w:rPr>
        <w:t>3 de abril de 2019.</w:t>
      </w:r>
    </w:p>
    <w:p w14:paraId="31D61E9E" w14:textId="7E61613F" w:rsidR="006016D6" w:rsidRPr="002E651F" w:rsidRDefault="006016D6" w:rsidP="006016D6">
      <w:pPr>
        <w:autoSpaceDE w:val="0"/>
        <w:autoSpaceDN w:val="0"/>
        <w:adjustRightInd w:val="0"/>
        <w:spacing w:line="360" w:lineRule="auto"/>
        <w:jc w:val="both"/>
        <w:rPr>
          <w:rFonts w:ascii="Arial" w:hAnsi="Arial" w:cs="Arial"/>
          <w:bCs/>
        </w:rPr>
      </w:pPr>
    </w:p>
    <w:p w14:paraId="78DCA385" w14:textId="1AED0FFB" w:rsidR="006016D6" w:rsidRPr="002E651F" w:rsidRDefault="006016D6" w:rsidP="002E651F">
      <w:pPr>
        <w:pStyle w:val="Prrafodelista"/>
        <w:numPr>
          <w:ilvl w:val="0"/>
          <w:numId w:val="4"/>
        </w:numPr>
        <w:autoSpaceDE w:val="0"/>
        <w:autoSpaceDN w:val="0"/>
        <w:adjustRightInd w:val="0"/>
        <w:spacing w:line="360" w:lineRule="auto"/>
        <w:jc w:val="both"/>
        <w:rPr>
          <w:rFonts w:ascii="Arial" w:hAnsi="Arial" w:cs="Arial"/>
          <w:bCs/>
        </w:rPr>
      </w:pPr>
      <w:r w:rsidRPr="002E651F">
        <w:rPr>
          <w:rFonts w:ascii="Arial" w:hAnsi="Arial" w:cs="Arial"/>
          <w:bCs/>
        </w:rPr>
        <w:t xml:space="preserve">Que el </w:t>
      </w:r>
      <w:r w:rsidRPr="002E651F">
        <w:rPr>
          <w:rFonts w:ascii="Arial" w:hAnsi="Arial" w:cs="Arial"/>
          <w:b/>
        </w:rPr>
        <w:t>Artículo Sexto Transitorio</w:t>
      </w:r>
      <w:r w:rsidRPr="002E651F">
        <w:rPr>
          <w:rFonts w:ascii="Arial" w:hAnsi="Arial" w:cs="Arial"/>
          <w:bCs/>
        </w:rPr>
        <w:t xml:space="preserve"> precisa que el </w:t>
      </w:r>
      <w:r w:rsidRPr="002E651F">
        <w:rPr>
          <w:rFonts w:ascii="Arial" w:hAnsi="Arial" w:cs="Arial"/>
          <w:b/>
          <w:u w:val="single"/>
        </w:rPr>
        <w:t>Manual de Funcionamiento de la Comisión de Admisión de DRO´s y Corresponsales</w:t>
      </w:r>
      <w:r w:rsidRPr="002E651F">
        <w:rPr>
          <w:rFonts w:ascii="Arial" w:hAnsi="Arial" w:cs="Arial"/>
          <w:b/>
        </w:rPr>
        <w:t xml:space="preserve"> a la que hace referencia el Regl</w:t>
      </w:r>
      <w:r w:rsidR="002E651F" w:rsidRPr="002E651F">
        <w:rPr>
          <w:rFonts w:ascii="Arial" w:hAnsi="Arial" w:cs="Arial"/>
          <w:b/>
        </w:rPr>
        <w:t>a</w:t>
      </w:r>
      <w:r w:rsidRPr="002E651F">
        <w:rPr>
          <w:rFonts w:ascii="Arial" w:hAnsi="Arial" w:cs="Arial"/>
          <w:b/>
        </w:rPr>
        <w:t xml:space="preserve">mento de Construcciones, </w:t>
      </w:r>
      <w:r w:rsidRPr="002E651F">
        <w:rPr>
          <w:rFonts w:ascii="Arial" w:hAnsi="Arial" w:cs="Arial"/>
          <w:b/>
          <w:u w:val="single"/>
        </w:rPr>
        <w:t>debería ser publicado a los 90 días hábiles siguientes a la publicación del referido decreto reformatorio</w:t>
      </w:r>
      <w:r w:rsidRPr="002E651F">
        <w:rPr>
          <w:rFonts w:ascii="Arial" w:hAnsi="Arial" w:cs="Arial"/>
          <w:b/>
        </w:rPr>
        <w:t>.</w:t>
      </w:r>
    </w:p>
    <w:p w14:paraId="20413A85" w14:textId="016ED2D1" w:rsidR="00A318FA" w:rsidRPr="002E651F" w:rsidRDefault="00A318FA" w:rsidP="004F22AE">
      <w:pPr>
        <w:autoSpaceDE w:val="0"/>
        <w:autoSpaceDN w:val="0"/>
        <w:adjustRightInd w:val="0"/>
        <w:spacing w:line="360" w:lineRule="auto"/>
        <w:jc w:val="both"/>
        <w:rPr>
          <w:rFonts w:ascii="Arial" w:hAnsi="Arial" w:cs="Arial"/>
          <w:bCs/>
        </w:rPr>
      </w:pPr>
    </w:p>
    <w:p w14:paraId="3101E423" w14:textId="010A2C55" w:rsidR="003156B5" w:rsidRPr="002E651F" w:rsidRDefault="00A318FA" w:rsidP="002E651F">
      <w:pPr>
        <w:pStyle w:val="Prrafodelista"/>
        <w:numPr>
          <w:ilvl w:val="0"/>
          <w:numId w:val="4"/>
        </w:numPr>
        <w:autoSpaceDE w:val="0"/>
        <w:autoSpaceDN w:val="0"/>
        <w:adjustRightInd w:val="0"/>
        <w:spacing w:line="360" w:lineRule="auto"/>
        <w:jc w:val="both"/>
        <w:rPr>
          <w:rFonts w:ascii="Arial" w:hAnsi="Arial" w:cs="Arial"/>
          <w:bCs/>
        </w:rPr>
      </w:pPr>
      <w:r w:rsidRPr="002E651F">
        <w:rPr>
          <w:rFonts w:ascii="Arial" w:hAnsi="Arial" w:cs="Arial"/>
          <w:bCs/>
        </w:rPr>
        <w:t xml:space="preserve">Que el </w:t>
      </w:r>
      <w:r w:rsidRPr="002E651F">
        <w:rPr>
          <w:rFonts w:ascii="Arial" w:hAnsi="Arial" w:cs="Arial"/>
          <w:b/>
        </w:rPr>
        <w:t>Reglamento de Construcciones</w:t>
      </w:r>
      <w:r w:rsidR="003156B5" w:rsidRPr="002E651F">
        <w:rPr>
          <w:rFonts w:ascii="Arial" w:hAnsi="Arial" w:cs="Arial"/>
          <w:b/>
        </w:rPr>
        <w:t xml:space="preserve"> para el Distrito Federal</w:t>
      </w:r>
      <w:r w:rsidR="003156B5" w:rsidRPr="002E651F">
        <w:rPr>
          <w:rFonts w:ascii="Arial" w:hAnsi="Arial" w:cs="Arial"/>
          <w:bCs/>
        </w:rPr>
        <w:t xml:space="preserve"> establece la instalación de la</w:t>
      </w:r>
      <w:r w:rsidR="003156B5" w:rsidRPr="002E651F">
        <w:rPr>
          <w:rFonts w:ascii="Arial" w:hAnsi="Arial" w:cs="Arial"/>
          <w:bCs/>
        </w:rPr>
        <w:t xml:space="preserve"> </w:t>
      </w:r>
      <w:r w:rsidR="003156B5" w:rsidRPr="002E651F">
        <w:rPr>
          <w:rFonts w:ascii="Arial" w:hAnsi="Arial" w:cs="Arial"/>
          <w:b/>
          <w:u w:val="single"/>
        </w:rPr>
        <w:t>Comisión de Admisión de Directores Responsables de Obra y Corresponsables</w:t>
      </w:r>
      <w:r w:rsidR="003156B5" w:rsidRPr="002E651F">
        <w:rPr>
          <w:rFonts w:ascii="Arial" w:hAnsi="Arial" w:cs="Arial"/>
          <w:bCs/>
        </w:rPr>
        <w:t xml:space="preserve">; misma que esta integrada por </w:t>
      </w:r>
      <w:r w:rsidR="003156B5" w:rsidRPr="002E651F">
        <w:rPr>
          <w:rFonts w:ascii="Arial" w:hAnsi="Arial" w:cs="Arial"/>
          <w:b/>
          <w:u w:val="single"/>
        </w:rPr>
        <w:t xml:space="preserve">a) </w:t>
      </w:r>
      <w:r w:rsidR="003156B5" w:rsidRPr="002E651F">
        <w:rPr>
          <w:rFonts w:ascii="Arial" w:hAnsi="Arial" w:cs="Arial"/>
          <w:b/>
          <w:u w:val="single"/>
        </w:rPr>
        <w:t>El Secretario de Obras y Servicios</w:t>
      </w:r>
      <w:r w:rsidR="003156B5" w:rsidRPr="002E651F">
        <w:rPr>
          <w:rFonts w:ascii="Arial" w:hAnsi="Arial" w:cs="Arial"/>
          <w:b/>
          <w:u w:val="single"/>
        </w:rPr>
        <w:t xml:space="preserve"> (quien funge como presidente)</w:t>
      </w:r>
      <w:r w:rsidR="003156B5" w:rsidRPr="002E651F">
        <w:rPr>
          <w:rFonts w:ascii="Arial" w:hAnsi="Arial" w:cs="Arial"/>
          <w:bCs/>
        </w:rPr>
        <w:t xml:space="preserve">, </w:t>
      </w:r>
      <w:r w:rsidR="003156B5" w:rsidRPr="002E651F">
        <w:rPr>
          <w:rFonts w:ascii="Arial" w:hAnsi="Arial" w:cs="Arial"/>
          <w:bCs/>
        </w:rPr>
        <w:t xml:space="preserve">b) </w:t>
      </w:r>
      <w:r w:rsidR="003156B5" w:rsidRPr="002E651F">
        <w:rPr>
          <w:rFonts w:ascii="Arial" w:hAnsi="Arial" w:cs="Arial"/>
          <w:bCs/>
        </w:rPr>
        <w:t>el Secretario de Desarrollo Urbano y Vivienda</w:t>
      </w:r>
      <w:r w:rsidR="003156B5" w:rsidRPr="002E651F">
        <w:rPr>
          <w:rFonts w:ascii="Arial" w:hAnsi="Arial" w:cs="Arial"/>
          <w:bCs/>
        </w:rPr>
        <w:t xml:space="preserve">, c) </w:t>
      </w:r>
      <w:r w:rsidR="003156B5" w:rsidRPr="002E651F">
        <w:rPr>
          <w:rFonts w:ascii="Arial" w:hAnsi="Arial" w:cs="Arial"/>
          <w:bCs/>
        </w:rPr>
        <w:t>el Director General del Instituto</w:t>
      </w:r>
      <w:r w:rsidR="003156B5" w:rsidRPr="002E651F">
        <w:rPr>
          <w:rFonts w:ascii="Arial" w:hAnsi="Arial" w:cs="Arial"/>
          <w:bCs/>
        </w:rPr>
        <w:t xml:space="preserve"> para la Seguridad de las Construcciones (quienes</w:t>
      </w:r>
      <w:r w:rsidR="003156B5" w:rsidRPr="002E651F">
        <w:rPr>
          <w:rFonts w:ascii="Arial" w:hAnsi="Arial" w:cs="Arial"/>
          <w:bCs/>
        </w:rPr>
        <w:t xml:space="preserve"> fung</w:t>
      </w:r>
      <w:r w:rsidR="003156B5" w:rsidRPr="002E651F">
        <w:rPr>
          <w:rFonts w:ascii="Arial" w:hAnsi="Arial" w:cs="Arial"/>
          <w:bCs/>
        </w:rPr>
        <w:t>en</w:t>
      </w:r>
      <w:r w:rsidR="003156B5" w:rsidRPr="002E651F">
        <w:rPr>
          <w:rFonts w:ascii="Arial" w:hAnsi="Arial" w:cs="Arial"/>
          <w:bCs/>
        </w:rPr>
        <w:t xml:space="preserve"> como Secretarios Técnicos</w:t>
      </w:r>
      <w:r w:rsidR="003156B5" w:rsidRPr="002E651F">
        <w:rPr>
          <w:rFonts w:ascii="Arial" w:hAnsi="Arial" w:cs="Arial"/>
          <w:bCs/>
        </w:rPr>
        <w:t>); y u</w:t>
      </w:r>
      <w:r w:rsidR="003156B5" w:rsidRPr="002E651F">
        <w:rPr>
          <w:rFonts w:ascii="Arial" w:hAnsi="Arial" w:cs="Arial"/>
          <w:bCs/>
        </w:rPr>
        <w:t xml:space="preserve">n representante de </w:t>
      </w:r>
      <w:r w:rsidR="003156B5" w:rsidRPr="002E651F">
        <w:rPr>
          <w:rFonts w:ascii="Arial" w:hAnsi="Arial" w:cs="Arial"/>
          <w:bCs/>
        </w:rPr>
        <w:t>determinados</w:t>
      </w:r>
      <w:r w:rsidR="003156B5" w:rsidRPr="002E651F">
        <w:rPr>
          <w:rFonts w:ascii="Arial" w:hAnsi="Arial" w:cs="Arial"/>
          <w:bCs/>
        </w:rPr>
        <w:t xml:space="preserve"> Colegios de Profesionales y Cámaras</w:t>
      </w:r>
      <w:r w:rsidR="004F22AE" w:rsidRPr="002E651F">
        <w:rPr>
          <w:rFonts w:ascii="Arial" w:hAnsi="Arial" w:cs="Arial"/>
          <w:bCs/>
        </w:rPr>
        <w:t>; todos y cada uno de sus integrantes con su respectivo suplente.</w:t>
      </w:r>
    </w:p>
    <w:p w14:paraId="3C322358" w14:textId="5FE9C251" w:rsidR="003156B5" w:rsidRPr="002E651F" w:rsidRDefault="003156B5" w:rsidP="004F22AE">
      <w:pPr>
        <w:autoSpaceDE w:val="0"/>
        <w:autoSpaceDN w:val="0"/>
        <w:adjustRightInd w:val="0"/>
        <w:spacing w:line="360" w:lineRule="auto"/>
        <w:jc w:val="both"/>
        <w:rPr>
          <w:rFonts w:ascii="Arial" w:hAnsi="Arial" w:cs="Arial"/>
          <w:bCs/>
        </w:rPr>
      </w:pPr>
    </w:p>
    <w:p w14:paraId="25D099BC" w14:textId="6089600D" w:rsidR="004F22AE" w:rsidRPr="002E651F" w:rsidRDefault="004F22AE" w:rsidP="002E651F">
      <w:pPr>
        <w:pStyle w:val="Prrafodelista"/>
        <w:numPr>
          <w:ilvl w:val="0"/>
          <w:numId w:val="4"/>
        </w:numPr>
        <w:autoSpaceDE w:val="0"/>
        <w:autoSpaceDN w:val="0"/>
        <w:adjustRightInd w:val="0"/>
        <w:spacing w:line="360" w:lineRule="auto"/>
        <w:jc w:val="both"/>
        <w:rPr>
          <w:rFonts w:ascii="Arial" w:hAnsi="Arial" w:cs="Arial"/>
          <w:b/>
        </w:rPr>
      </w:pPr>
      <w:r w:rsidRPr="002E651F">
        <w:rPr>
          <w:rFonts w:ascii="Arial" w:hAnsi="Arial" w:cs="Arial"/>
          <w:bCs/>
        </w:rPr>
        <w:lastRenderedPageBreak/>
        <w:t xml:space="preserve">Que la referida Comisión funciona en comités; y que sus atribuciones/funciones además de las contempladas en el referido Reglamento, </w:t>
      </w:r>
      <w:r w:rsidRPr="002E651F">
        <w:rPr>
          <w:rFonts w:ascii="Arial" w:hAnsi="Arial" w:cs="Arial"/>
          <w:b/>
        </w:rPr>
        <w:t xml:space="preserve">se contemplaran en el </w:t>
      </w:r>
      <w:r w:rsidRPr="002E651F">
        <w:rPr>
          <w:rFonts w:ascii="Arial" w:hAnsi="Arial" w:cs="Arial"/>
          <w:b/>
        </w:rPr>
        <w:t>Manual de Funcionamiento de la Comisión</w:t>
      </w:r>
      <w:r w:rsidRPr="002E651F">
        <w:rPr>
          <w:rFonts w:ascii="Arial" w:hAnsi="Arial" w:cs="Arial"/>
          <w:b/>
        </w:rPr>
        <w:t>.</w:t>
      </w:r>
    </w:p>
    <w:p w14:paraId="1136BD46" w14:textId="7C07E524" w:rsidR="004F22AE" w:rsidRPr="002E651F" w:rsidRDefault="004F22AE" w:rsidP="004F22AE">
      <w:pPr>
        <w:autoSpaceDE w:val="0"/>
        <w:autoSpaceDN w:val="0"/>
        <w:adjustRightInd w:val="0"/>
        <w:spacing w:line="360" w:lineRule="auto"/>
        <w:jc w:val="both"/>
        <w:rPr>
          <w:rFonts w:ascii="Arial" w:hAnsi="Arial" w:cs="Arial"/>
          <w:bCs/>
          <w:u w:val="single"/>
        </w:rPr>
      </w:pPr>
    </w:p>
    <w:p w14:paraId="13AB43AB" w14:textId="0BAA551B" w:rsidR="004F22AE" w:rsidRPr="002E651F" w:rsidRDefault="004F22AE" w:rsidP="002E651F">
      <w:pPr>
        <w:pStyle w:val="Prrafodelista"/>
        <w:numPr>
          <w:ilvl w:val="0"/>
          <w:numId w:val="4"/>
        </w:numPr>
        <w:spacing w:line="360" w:lineRule="auto"/>
        <w:ind w:right="567"/>
        <w:jc w:val="both"/>
        <w:rPr>
          <w:rFonts w:ascii="Arial" w:hAnsi="Arial" w:cs="Arial"/>
          <w:b/>
          <w:u w:val="single"/>
        </w:rPr>
      </w:pPr>
      <w:r w:rsidRPr="002E651F">
        <w:rPr>
          <w:rFonts w:ascii="Arial" w:hAnsi="Arial" w:cs="Arial"/>
          <w:bCs/>
        </w:rPr>
        <w:t xml:space="preserve">Que </w:t>
      </w:r>
      <w:r w:rsidRPr="002E651F">
        <w:rPr>
          <w:rFonts w:ascii="Arial" w:hAnsi="Arial" w:cs="Arial"/>
          <w:b/>
        </w:rPr>
        <w:t>e</w:t>
      </w:r>
      <w:r w:rsidRPr="002E651F">
        <w:rPr>
          <w:rFonts w:ascii="Arial" w:hAnsi="Arial" w:cs="Arial"/>
          <w:b/>
        </w:rPr>
        <w:t xml:space="preserve">l </w:t>
      </w:r>
      <w:r w:rsidRPr="002E651F">
        <w:rPr>
          <w:rFonts w:ascii="Arial" w:hAnsi="Arial" w:cs="Arial"/>
          <w:b/>
          <w:u w:val="single"/>
        </w:rPr>
        <w:t xml:space="preserve">Secretario de Obras y Servicios </w:t>
      </w:r>
      <w:r w:rsidRPr="002E651F">
        <w:rPr>
          <w:rFonts w:ascii="Arial" w:hAnsi="Arial" w:cs="Arial"/>
          <w:b/>
          <w:u w:val="single"/>
        </w:rPr>
        <w:t xml:space="preserve">es el responsable y competente para </w:t>
      </w:r>
      <w:r w:rsidRPr="002E651F">
        <w:rPr>
          <w:rFonts w:ascii="Arial" w:hAnsi="Arial" w:cs="Arial"/>
          <w:b/>
          <w:u w:val="single"/>
        </w:rPr>
        <w:t>expedir los Manuales de Funcionamiento de la Comisión</w:t>
      </w:r>
      <w:r w:rsidRPr="002E651F">
        <w:rPr>
          <w:rFonts w:ascii="Arial" w:hAnsi="Arial" w:cs="Arial"/>
          <w:b/>
        </w:rPr>
        <w:t xml:space="preserve"> y de sus Comités Técnicos de conformidad con la normativa aplicable. </w:t>
      </w:r>
      <w:r w:rsidRPr="002E651F">
        <w:rPr>
          <w:rFonts w:ascii="Arial" w:hAnsi="Arial" w:cs="Arial"/>
          <w:b/>
        </w:rPr>
        <w:t xml:space="preserve">Y que </w:t>
      </w:r>
      <w:r w:rsidRPr="002E651F">
        <w:rPr>
          <w:rFonts w:ascii="Arial" w:hAnsi="Arial" w:cs="Arial"/>
          <w:b/>
          <w:u w:val="single"/>
        </w:rPr>
        <w:t>d</w:t>
      </w:r>
      <w:r w:rsidRPr="002E651F">
        <w:rPr>
          <w:rFonts w:ascii="Arial" w:hAnsi="Arial" w:cs="Arial"/>
          <w:b/>
          <w:u w:val="single"/>
        </w:rPr>
        <w:t>ichos manuales debe</w:t>
      </w:r>
      <w:r w:rsidRPr="002E651F">
        <w:rPr>
          <w:rFonts w:ascii="Arial" w:hAnsi="Arial" w:cs="Arial"/>
          <w:b/>
          <w:u w:val="single"/>
        </w:rPr>
        <w:t>n</w:t>
      </w:r>
      <w:r w:rsidRPr="002E651F">
        <w:rPr>
          <w:rFonts w:ascii="Arial" w:hAnsi="Arial" w:cs="Arial"/>
          <w:b/>
          <w:u w:val="single"/>
        </w:rPr>
        <w:t xml:space="preserve"> publicarse en la Gaceta Oficial de</w:t>
      </w:r>
      <w:r w:rsidRPr="002E651F">
        <w:rPr>
          <w:rFonts w:ascii="Arial" w:hAnsi="Arial" w:cs="Arial"/>
          <w:b/>
          <w:u w:val="single"/>
        </w:rPr>
        <w:t xml:space="preserve"> esta Ciudad capital.</w:t>
      </w:r>
    </w:p>
    <w:p w14:paraId="208F993E" w14:textId="3FF6AE59" w:rsidR="004F22AE" w:rsidRDefault="004F22AE" w:rsidP="004F22AE">
      <w:pPr>
        <w:ind w:right="567"/>
        <w:jc w:val="both"/>
        <w:rPr>
          <w:rFonts w:ascii="Arial" w:hAnsi="Arial" w:cs="Arial"/>
          <w:b/>
          <w:bCs/>
          <w:sz w:val="20"/>
          <w:szCs w:val="20"/>
          <w:u w:val="single"/>
        </w:rPr>
      </w:pPr>
    </w:p>
    <w:p w14:paraId="758B6977" w14:textId="77777777" w:rsidR="004F22AE" w:rsidRPr="00B95ECD" w:rsidRDefault="004F22AE" w:rsidP="004F22AE">
      <w:pPr>
        <w:ind w:right="567"/>
        <w:jc w:val="both"/>
        <w:rPr>
          <w:rFonts w:ascii="Arial" w:hAnsi="Arial" w:cs="Arial"/>
          <w:b/>
          <w:bCs/>
          <w:sz w:val="20"/>
          <w:szCs w:val="20"/>
          <w:u w:val="single"/>
        </w:rPr>
      </w:pPr>
    </w:p>
    <w:p w14:paraId="38828690" w14:textId="59923A22" w:rsidR="006016D6" w:rsidRPr="004517DF" w:rsidRDefault="000C339F" w:rsidP="0097428C">
      <w:pPr>
        <w:autoSpaceDE w:val="0"/>
        <w:autoSpaceDN w:val="0"/>
        <w:adjustRightInd w:val="0"/>
        <w:spacing w:line="360" w:lineRule="auto"/>
        <w:jc w:val="both"/>
        <w:rPr>
          <w:rFonts w:ascii="Arial" w:hAnsi="Arial" w:cs="Arial"/>
          <w:b/>
          <w:u w:val="single"/>
        </w:rPr>
      </w:pPr>
      <w:r>
        <w:rPr>
          <w:rFonts w:ascii="Arial" w:hAnsi="Arial" w:cs="Arial"/>
          <w:bCs/>
        </w:rPr>
        <w:t>Consecuentemente, resulta válidamente concluir que</w:t>
      </w:r>
      <w:r w:rsidR="00AD57E4">
        <w:rPr>
          <w:rFonts w:ascii="Arial" w:hAnsi="Arial" w:cs="Arial"/>
          <w:bCs/>
        </w:rPr>
        <w:t xml:space="preserve">, </w:t>
      </w:r>
      <w:r w:rsidR="00AD57E4" w:rsidRPr="004517DF">
        <w:rPr>
          <w:rFonts w:ascii="Arial" w:hAnsi="Arial" w:cs="Arial"/>
          <w:b/>
        </w:rPr>
        <w:t xml:space="preserve">contrario a lo respondido por el sujeto obligado, </w:t>
      </w:r>
      <w:r w:rsidR="00AD57E4" w:rsidRPr="00AA739C">
        <w:rPr>
          <w:rFonts w:ascii="Arial" w:hAnsi="Arial" w:cs="Arial"/>
          <w:b/>
          <w:u w:val="single"/>
        </w:rPr>
        <w:t>éste si resulta competente para emitir pronunciamiento respecto a lo solicitado y en su caso, hacer entrega del referido Manual de Funcionamiento de la Comisión aludida</w:t>
      </w:r>
      <w:r w:rsidR="00AD57E4">
        <w:rPr>
          <w:rFonts w:ascii="Arial" w:hAnsi="Arial" w:cs="Arial"/>
          <w:bCs/>
        </w:rPr>
        <w:t>; pues si bien es cierto, la Secretar</w:t>
      </w:r>
      <w:r w:rsidR="00CA18A1">
        <w:rPr>
          <w:rFonts w:ascii="Arial" w:hAnsi="Arial" w:cs="Arial"/>
          <w:bCs/>
        </w:rPr>
        <w:t>í</w:t>
      </w:r>
      <w:r w:rsidR="00AD57E4">
        <w:rPr>
          <w:rFonts w:ascii="Arial" w:hAnsi="Arial" w:cs="Arial"/>
          <w:bCs/>
        </w:rPr>
        <w:t xml:space="preserve">a de Desarrollo Urbano y Vivienda y el </w:t>
      </w:r>
      <w:r w:rsidR="00AD57E4" w:rsidRPr="002E651F">
        <w:rPr>
          <w:rFonts w:ascii="Arial" w:hAnsi="Arial" w:cs="Arial"/>
          <w:bCs/>
        </w:rPr>
        <w:t>Instituto para la Seguridad de las Construcciones</w:t>
      </w:r>
      <w:r w:rsidR="00AD57E4">
        <w:rPr>
          <w:rFonts w:ascii="Arial" w:hAnsi="Arial" w:cs="Arial"/>
          <w:bCs/>
        </w:rPr>
        <w:t xml:space="preserve"> forman parte de dicha Comisión</w:t>
      </w:r>
      <w:r w:rsidR="00354DFC">
        <w:rPr>
          <w:rFonts w:ascii="Arial" w:hAnsi="Arial" w:cs="Arial"/>
          <w:bCs/>
        </w:rPr>
        <w:t xml:space="preserve"> y conocen sobre los procesos de admisión, capacitación y evaluación de DRO´s</w:t>
      </w:r>
      <w:r w:rsidR="00CA776D">
        <w:rPr>
          <w:rFonts w:ascii="Arial" w:hAnsi="Arial" w:cs="Arial"/>
          <w:bCs/>
        </w:rPr>
        <w:t>,</w:t>
      </w:r>
      <w:r w:rsidR="00AD57E4">
        <w:rPr>
          <w:rFonts w:ascii="Arial" w:hAnsi="Arial" w:cs="Arial"/>
          <w:bCs/>
        </w:rPr>
        <w:t xml:space="preserve"> </w:t>
      </w:r>
      <w:r w:rsidR="00AD57E4" w:rsidRPr="004517DF">
        <w:rPr>
          <w:rFonts w:ascii="Arial" w:hAnsi="Arial" w:cs="Arial"/>
          <w:b/>
          <w:u w:val="single"/>
        </w:rPr>
        <w:t xml:space="preserve">no menos cierto es que, normativamente el responsable y competente para expedir el Manual de Funcionamiento de </w:t>
      </w:r>
      <w:r w:rsidR="00AD57E4" w:rsidRPr="004517DF">
        <w:rPr>
          <w:rFonts w:ascii="Arial" w:hAnsi="Arial" w:cs="Arial"/>
          <w:b/>
          <w:u w:val="single"/>
        </w:rPr>
        <w:t>la Comisión de Admisión de DRO´s y Corresponsales</w:t>
      </w:r>
      <w:r w:rsidR="00AD57E4" w:rsidRPr="004517DF">
        <w:rPr>
          <w:rFonts w:ascii="Arial" w:hAnsi="Arial" w:cs="Arial"/>
          <w:b/>
          <w:u w:val="single"/>
        </w:rPr>
        <w:t xml:space="preserve"> </w:t>
      </w:r>
      <w:r w:rsidR="00354DFC">
        <w:rPr>
          <w:rFonts w:ascii="Arial" w:hAnsi="Arial" w:cs="Arial"/>
          <w:b/>
          <w:u w:val="single"/>
        </w:rPr>
        <w:t>así como de</w:t>
      </w:r>
      <w:r w:rsidR="00AD57E4" w:rsidRPr="004517DF">
        <w:rPr>
          <w:rFonts w:ascii="Arial" w:hAnsi="Arial" w:cs="Arial"/>
          <w:b/>
          <w:u w:val="single"/>
        </w:rPr>
        <w:t xml:space="preserve"> ordenar su publicación en la Gaceta Oficial de la Ciudad de México, </w:t>
      </w:r>
      <w:r w:rsidR="00CA18A1" w:rsidRPr="004517DF">
        <w:rPr>
          <w:rFonts w:ascii="Arial" w:hAnsi="Arial" w:cs="Arial"/>
          <w:b/>
          <w:u w:val="single"/>
        </w:rPr>
        <w:t>lo es el Secretario de Obras y Servicios de la Ciudad de México, lo anterior por disposición expresa reglamentaria.</w:t>
      </w:r>
    </w:p>
    <w:p w14:paraId="4990E77C" w14:textId="6C032288" w:rsidR="006016D6" w:rsidRDefault="006016D6" w:rsidP="0097428C">
      <w:pPr>
        <w:autoSpaceDE w:val="0"/>
        <w:autoSpaceDN w:val="0"/>
        <w:adjustRightInd w:val="0"/>
        <w:spacing w:line="360" w:lineRule="auto"/>
        <w:jc w:val="both"/>
        <w:rPr>
          <w:rFonts w:ascii="Arial" w:hAnsi="Arial" w:cs="Arial"/>
          <w:bCs/>
        </w:rPr>
      </w:pPr>
    </w:p>
    <w:p w14:paraId="4F50A9ED" w14:textId="21883E6F" w:rsidR="004517DF" w:rsidRPr="00D04288" w:rsidRDefault="007C675A" w:rsidP="0097428C">
      <w:pPr>
        <w:autoSpaceDE w:val="0"/>
        <w:autoSpaceDN w:val="0"/>
        <w:adjustRightInd w:val="0"/>
        <w:spacing w:line="360" w:lineRule="auto"/>
        <w:jc w:val="both"/>
        <w:rPr>
          <w:rFonts w:ascii="Arial" w:hAnsi="Arial" w:cs="Arial"/>
          <w:b/>
        </w:rPr>
      </w:pPr>
      <w:r w:rsidRPr="007C675A">
        <w:rPr>
          <w:rFonts w:ascii="Arial" w:hAnsi="Arial" w:cs="Arial"/>
          <w:bCs/>
        </w:rPr>
        <w:t>Ahora bien</w:t>
      </w:r>
      <w:r w:rsidR="004517DF" w:rsidRPr="007C675A">
        <w:rPr>
          <w:rFonts w:ascii="Arial" w:hAnsi="Arial" w:cs="Arial"/>
          <w:bCs/>
        </w:rPr>
        <w:t>, tomando en cuenta que</w:t>
      </w:r>
      <w:r w:rsidRPr="007C675A">
        <w:rPr>
          <w:rFonts w:ascii="Arial" w:hAnsi="Arial" w:cs="Arial"/>
          <w:bCs/>
        </w:rPr>
        <w:t xml:space="preserve"> el </w:t>
      </w:r>
      <w:r w:rsidRPr="00CB58E4">
        <w:rPr>
          <w:rFonts w:ascii="Arial" w:hAnsi="Arial" w:cs="Arial"/>
          <w:b/>
        </w:rPr>
        <w:t>Artículo Sexto Transitorio</w:t>
      </w:r>
      <w:r w:rsidRPr="00CB58E4">
        <w:rPr>
          <w:rFonts w:ascii="Arial" w:hAnsi="Arial" w:cs="Arial"/>
          <w:b/>
        </w:rPr>
        <w:t xml:space="preserve"> del referido Decreto reformatorio</w:t>
      </w:r>
      <w:r w:rsidRPr="007C675A">
        <w:rPr>
          <w:rFonts w:ascii="Arial" w:hAnsi="Arial" w:cs="Arial"/>
          <w:bCs/>
        </w:rPr>
        <w:t xml:space="preserve"> precis</w:t>
      </w:r>
      <w:r w:rsidR="00CB58E4">
        <w:rPr>
          <w:rFonts w:ascii="Arial" w:hAnsi="Arial" w:cs="Arial"/>
          <w:bCs/>
        </w:rPr>
        <w:t>a</w:t>
      </w:r>
      <w:r w:rsidRPr="007C675A">
        <w:rPr>
          <w:rFonts w:ascii="Arial" w:hAnsi="Arial" w:cs="Arial"/>
          <w:bCs/>
        </w:rPr>
        <w:t xml:space="preserve"> que el </w:t>
      </w:r>
      <w:r w:rsidRPr="00D04288">
        <w:rPr>
          <w:rFonts w:ascii="Arial" w:hAnsi="Arial" w:cs="Arial"/>
          <w:b/>
        </w:rPr>
        <w:t xml:space="preserve">Manual de Funcionamiento de la Comisión de Admisión </w:t>
      </w:r>
      <w:r w:rsidRPr="00D04288">
        <w:rPr>
          <w:rFonts w:ascii="Arial" w:hAnsi="Arial" w:cs="Arial"/>
          <w:b/>
        </w:rPr>
        <w:lastRenderedPageBreak/>
        <w:t>de DRO´s y Corresponsales a la que hace referencia el Reglamento de Construcciones, debería ser publicado a los 90 días hábiles siguientes a la publicación del referido decreto reformatorio</w:t>
      </w:r>
      <w:r w:rsidR="004517DF" w:rsidRPr="007C675A">
        <w:rPr>
          <w:rFonts w:ascii="Arial" w:hAnsi="Arial" w:cs="Arial"/>
          <w:bCs/>
        </w:rPr>
        <w:t xml:space="preserve"> </w:t>
      </w:r>
      <w:r w:rsidRPr="007C675A">
        <w:rPr>
          <w:rFonts w:ascii="Arial" w:hAnsi="Arial" w:cs="Arial"/>
          <w:bCs/>
        </w:rPr>
        <w:t xml:space="preserve">y éste </w:t>
      </w:r>
      <w:r w:rsidR="00D04288">
        <w:rPr>
          <w:rFonts w:ascii="Arial" w:hAnsi="Arial" w:cs="Arial"/>
          <w:bCs/>
        </w:rPr>
        <w:t xml:space="preserve">fue </w:t>
      </w:r>
      <w:r w:rsidR="004517DF" w:rsidRPr="007C675A">
        <w:rPr>
          <w:rFonts w:ascii="Arial" w:hAnsi="Arial" w:cs="Arial"/>
          <w:bCs/>
        </w:rPr>
        <w:t>publicado en la Gaceta Oficial de la Ciudad de México con fecha 2 de abril de 2019, adquiriendo vigencia al día hábil siguiente</w:t>
      </w:r>
      <w:r w:rsidRPr="007C675A">
        <w:rPr>
          <w:rFonts w:ascii="Arial" w:hAnsi="Arial" w:cs="Arial"/>
          <w:bCs/>
        </w:rPr>
        <w:t xml:space="preserve">, es decir, el 3 de abril de 2019; </w:t>
      </w:r>
      <w:r w:rsidRPr="00D04288">
        <w:rPr>
          <w:rFonts w:ascii="Arial" w:hAnsi="Arial" w:cs="Arial"/>
          <w:b/>
        </w:rPr>
        <w:t>a la fecha de presentación de la solicitud de información (10 de noviembre de 2020) e incluso a la fecha de emisión de respuesta (20 de octubre de 2021), dicho Manual ya debería existir por mandato legal.</w:t>
      </w:r>
    </w:p>
    <w:p w14:paraId="57EF2EA9" w14:textId="77777777" w:rsidR="0074237F" w:rsidRDefault="0074237F" w:rsidP="0097428C">
      <w:pPr>
        <w:autoSpaceDE w:val="0"/>
        <w:autoSpaceDN w:val="0"/>
        <w:adjustRightInd w:val="0"/>
        <w:spacing w:line="360" w:lineRule="auto"/>
        <w:jc w:val="both"/>
        <w:rPr>
          <w:rFonts w:ascii="Arial" w:hAnsi="Arial" w:cs="Arial"/>
          <w:bCs/>
        </w:rPr>
      </w:pPr>
    </w:p>
    <w:p w14:paraId="64A16FED" w14:textId="27AD9D9E" w:rsidR="0097428C" w:rsidRPr="004C3839" w:rsidRDefault="0097428C" w:rsidP="0097428C">
      <w:pPr>
        <w:widowControl w:val="0"/>
        <w:tabs>
          <w:tab w:val="left" w:pos="7371"/>
        </w:tabs>
        <w:spacing w:line="360" w:lineRule="auto"/>
        <w:contextualSpacing/>
        <w:jc w:val="both"/>
        <w:rPr>
          <w:rFonts w:ascii="Arial" w:hAnsi="Arial" w:cs="Arial"/>
          <w:lang w:val="es-ES"/>
        </w:rPr>
      </w:pPr>
      <w:r w:rsidRPr="0059269D">
        <w:rPr>
          <w:rFonts w:ascii="Arial" w:hAnsi="Arial" w:cs="Arial"/>
          <w:lang w:val="es-ES"/>
        </w:rPr>
        <w:t xml:space="preserve">En virtud de todo lo analizado, se concluye que el agravio hecho valer por la persona recurrente resulta FUNDADO toda vez que, es claro que la negativa de la entrega de lo solicitado no fue debidamente fundada ni motivada, </w:t>
      </w:r>
      <w:r w:rsidR="000B3566" w:rsidRPr="0059269D">
        <w:rPr>
          <w:rFonts w:ascii="Arial" w:hAnsi="Arial" w:cs="Arial"/>
          <w:lang w:val="es-ES"/>
        </w:rPr>
        <w:t xml:space="preserve">limitando con ello la </w:t>
      </w:r>
      <w:r w:rsidR="000B3566" w:rsidRPr="0059269D">
        <w:rPr>
          <w:rFonts w:ascii="Arial" w:hAnsi="Arial" w:cs="Arial"/>
        </w:rPr>
        <w:t>garantía del ejercicio del derecho de acceso a dicha información</w:t>
      </w:r>
      <w:r w:rsidR="000B3566">
        <w:rPr>
          <w:rFonts w:ascii="Arial" w:hAnsi="Arial" w:cs="Arial"/>
        </w:rPr>
        <w:t xml:space="preserve">; </w:t>
      </w:r>
      <w:r w:rsidR="0059269D" w:rsidRPr="0059269D">
        <w:rPr>
          <w:rFonts w:ascii="Arial" w:hAnsi="Arial" w:cs="Arial"/>
          <w:lang w:val="es-ES"/>
        </w:rPr>
        <w:t>pues el sujeto obligado resulta competente para pronunciarse respecto a lo específicamente solicitado y en s</w:t>
      </w:r>
      <w:r w:rsidR="000B3566">
        <w:rPr>
          <w:rFonts w:ascii="Arial" w:hAnsi="Arial" w:cs="Arial"/>
          <w:lang w:val="es-ES"/>
        </w:rPr>
        <w:t xml:space="preserve">u </w:t>
      </w:r>
      <w:r w:rsidR="0059269D" w:rsidRPr="0059269D">
        <w:rPr>
          <w:rFonts w:ascii="Arial" w:hAnsi="Arial" w:cs="Arial"/>
          <w:lang w:val="es-ES"/>
        </w:rPr>
        <w:t>caso, para entregar lo requerido</w:t>
      </w:r>
      <w:r w:rsidR="000B3566">
        <w:rPr>
          <w:rFonts w:ascii="Arial" w:hAnsi="Arial" w:cs="Arial"/>
          <w:lang w:val="es-ES"/>
        </w:rPr>
        <w:t>.</w:t>
      </w:r>
    </w:p>
    <w:p w14:paraId="204FD6B4" w14:textId="77777777" w:rsidR="0097428C" w:rsidRPr="004C3839" w:rsidRDefault="0097428C" w:rsidP="0097428C">
      <w:pPr>
        <w:tabs>
          <w:tab w:val="left" w:pos="4035"/>
        </w:tabs>
        <w:autoSpaceDE w:val="0"/>
        <w:autoSpaceDN w:val="0"/>
        <w:adjustRightInd w:val="0"/>
        <w:spacing w:line="360" w:lineRule="auto"/>
        <w:jc w:val="both"/>
        <w:rPr>
          <w:rFonts w:ascii="Arial" w:hAnsi="Arial" w:cs="Arial"/>
          <w:bCs/>
          <w:lang w:val="es-ES_tradnl"/>
        </w:rPr>
      </w:pPr>
      <w:r w:rsidRPr="004C3839">
        <w:rPr>
          <w:rFonts w:ascii="Arial" w:hAnsi="Arial" w:cs="Arial"/>
          <w:bCs/>
          <w:lang w:val="es-ES_tradnl"/>
        </w:rPr>
        <w:t xml:space="preserve"> </w:t>
      </w:r>
    </w:p>
    <w:p w14:paraId="31EC77AE" w14:textId="77777777" w:rsidR="0097428C" w:rsidRPr="000B3566" w:rsidRDefault="0097428C" w:rsidP="0097428C">
      <w:pPr>
        <w:tabs>
          <w:tab w:val="left" w:pos="1134"/>
        </w:tabs>
        <w:autoSpaceDE w:val="0"/>
        <w:autoSpaceDN w:val="0"/>
        <w:adjustRightInd w:val="0"/>
        <w:spacing w:line="360" w:lineRule="auto"/>
        <w:jc w:val="both"/>
        <w:rPr>
          <w:rFonts w:ascii="Arial" w:hAnsi="Arial" w:cs="Arial"/>
          <w:bCs/>
        </w:rPr>
      </w:pPr>
      <w:r w:rsidRPr="000B3566">
        <w:rPr>
          <w:rFonts w:ascii="Arial" w:eastAsia="Calibri" w:hAnsi="Arial" w:cs="Arial"/>
          <w:bCs/>
          <w:iCs/>
        </w:rPr>
        <w:t>En consecuencia, de lo anterior, es claro que</w:t>
      </w:r>
      <w:r w:rsidRPr="000B3566">
        <w:rPr>
          <w:rFonts w:ascii="Arial" w:hAnsi="Arial" w:cs="Arial"/>
          <w:bCs/>
        </w:rPr>
        <w:t xml:space="preserve">, de la lectura efectuada entre la solicitud de información y la respuesta emitida por el sujeto obligado, es incuestionable que incumplió la Ley de Transparencia; traduciendo su respuesta en un acto administrativo </w:t>
      </w:r>
      <w:r w:rsidRPr="000B3566">
        <w:rPr>
          <w:rFonts w:ascii="Arial" w:hAnsi="Arial" w:cs="Arial"/>
          <w:bCs/>
          <w:lang w:val="es-ES"/>
        </w:rPr>
        <w:t>que no puede ser considerado válido, pues este carece</w:t>
      </w:r>
      <w:r w:rsidRPr="000B3566">
        <w:rPr>
          <w:rFonts w:ascii="Arial" w:hAnsi="Arial" w:cs="Arial"/>
          <w:bCs/>
        </w:rPr>
        <w:t xml:space="preserve"> de fundamentación, motivación, congruencia y exhaustividad; aunado al hecho de que el mismo no fue emitido de conformidad con el procedimiento que la ley de la materia establece para el trámite de las solicitudes de información pública; características </w:t>
      </w:r>
      <w:r w:rsidRPr="000B3566">
        <w:rPr>
          <w:rFonts w:ascii="Arial" w:hAnsi="Arial" w:cs="Arial"/>
          <w:bCs/>
          <w:i/>
        </w:rPr>
        <w:t>“sine quanon”</w:t>
      </w:r>
      <w:r w:rsidRPr="000B3566">
        <w:rPr>
          <w:rFonts w:ascii="Arial" w:hAnsi="Arial" w:cs="Arial"/>
          <w:bCs/>
        </w:rPr>
        <w:t xml:space="preserve"> que todo acto administrativo debe reunir de conformidad con lo previsto en la fracciones VIII, IX y X del artículo 6 de la Ley de Procedimiento Administrativo de la Ciudad de México, de </w:t>
      </w:r>
      <w:r w:rsidRPr="000B3566">
        <w:rPr>
          <w:rFonts w:ascii="Arial" w:hAnsi="Arial" w:cs="Arial"/>
          <w:bCs/>
        </w:rPr>
        <w:lastRenderedPageBreak/>
        <w:t>aplicación supletoria a la Ley de la materia de acuerdo a lo previsto en su artículo 10; y el cual a la letra establece:</w:t>
      </w:r>
    </w:p>
    <w:p w14:paraId="57B82234" w14:textId="77777777" w:rsidR="0097428C" w:rsidRPr="000B3566" w:rsidRDefault="0097428C" w:rsidP="0097428C">
      <w:pPr>
        <w:tabs>
          <w:tab w:val="left" w:pos="1134"/>
        </w:tabs>
        <w:autoSpaceDE w:val="0"/>
        <w:autoSpaceDN w:val="0"/>
        <w:adjustRightInd w:val="0"/>
        <w:spacing w:line="360" w:lineRule="auto"/>
        <w:jc w:val="both"/>
        <w:rPr>
          <w:rFonts w:ascii="Arial" w:hAnsi="Arial" w:cs="Arial"/>
          <w:bCs/>
        </w:rPr>
      </w:pPr>
    </w:p>
    <w:p w14:paraId="4E05167B" w14:textId="77777777" w:rsidR="0097428C" w:rsidRPr="000B3566" w:rsidRDefault="0097428C" w:rsidP="0097428C">
      <w:pPr>
        <w:shd w:val="clear" w:color="auto" w:fill="FFFFFF"/>
        <w:autoSpaceDE w:val="0"/>
        <w:autoSpaceDN w:val="0"/>
        <w:adjustRightInd w:val="0"/>
        <w:ind w:left="567" w:right="567"/>
        <w:contextualSpacing/>
        <w:jc w:val="both"/>
        <w:rPr>
          <w:rFonts w:ascii="Arial" w:hAnsi="Arial" w:cs="Arial"/>
          <w:sz w:val="20"/>
          <w:szCs w:val="20"/>
        </w:rPr>
      </w:pPr>
      <w:r w:rsidRPr="000B3566">
        <w:rPr>
          <w:rFonts w:ascii="Arial" w:hAnsi="Arial" w:cs="Arial"/>
          <w:sz w:val="20"/>
          <w:szCs w:val="20"/>
        </w:rPr>
        <w:t xml:space="preserve">Artículo 6º.- Se considerarán válidos los actos administrativos que reúnan los siguientes elementos: </w:t>
      </w:r>
    </w:p>
    <w:p w14:paraId="343C549C" w14:textId="77777777" w:rsidR="0097428C" w:rsidRPr="000B3566" w:rsidRDefault="0097428C" w:rsidP="0097428C">
      <w:pPr>
        <w:shd w:val="clear" w:color="auto" w:fill="FFFFFF"/>
        <w:autoSpaceDE w:val="0"/>
        <w:autoSpaceDN w:val="0"/>
        <w:adjustRightInd w:val="0"/>
        <w:ind w:left="567" w:right="567"/>
        <w:contextualSpacing/>
        <w:jc w:val="both"/>
        <w:rPr>
          <w:rFonts w:ascii="Arial" w:hAnsi="Arial" w:cs="Arial"/>
          <w:iCs/>
          <w:sz w:val="20"/>
          <w:szCs w:val="20"/>
        </w:rPr>
      </w:pPr>
      <w:r w:rsidRPr="000B3566">
        <w:rPr>
          <w:rFonts w:ascii="Arial" w:hAnsi="Arial" w:cs="Arial"/>
          <w:iCs/>
          <w:sz w:val="20"/>
          <w:szCs w:val="20"/>
        </w:rPr>
        <w:t xml:space="preserve">… </w:t>
      </w:r>
    </w:p>
    <w:p w14:paraId="0986BC0B" w14:textId="77777777" w:rsidR="0097428C" w:rsidRPr="000B3566" w:rsidRDefault="0097428C" w:rsidP="0097428C">
      <w:pPr>
        <w:shd w:val="clear" w:color="auto" w:fill="FFFFFF"/>
        <w:autoSpaceDE w:val="0"/>
        <w:autoSpaceDN w:val="0"/>
        <w:adjustRightInd w:val="0"/>
        <w:ind w:left="567" w:right="567"/>
        <w:contextualSpacing/>
        <w:jc w:val="both"/>
        <w:rPr>
          <w:rFonts w:ascii="Arial" w:hAnsi="Arial" w:cs="Arial"/>
          <w:iCs/>
          <w:sz w:val="20"/>
          <w:szCs w:val="20"/>
        </w:rPr>
      </w:pPr>
      <w:r w:rsidRPr="000B3566">
        <w:rPr>
          <w:rFonts w:ascii="Arial" w:hAnsi="Arial" w:cs="Arial"/>
          <w:iCs/>
          <w:sz w:val="20"/>
          <w:szCs w:val="20"/>
        </w:rPr>
        <w:t xml:space="preserve">VIII. </w:t>
      </w:r>
      <w:r w:rsidRPr="000B3566">
        <w:rPr>
          <w:rFonts w:ascii="Arial" w:hAnsi="Arial" w:cs="Arial"/>
          <w:b/>
          <w:iCs/>
          <w:sz w:val="20"/>
          <w:szCs w:val="20"/>
        </w:rPr>
        <w:t>Estar fundado y motivado</w:t>
      </w:r>
      <w:r w:rsidRPr="000B3566">
        <w:rPr>
          <w:rFonts w:ascii="Arial" w:hAnsi="Arial" w:cs="Arial"/>
          <w:iCs/>
          <w:sz w:val="20"/>
          <w:szCs w:val="20"/>
        </w:rPr>
        <w:t>, es decir, citar con precisión el o los preceptos legales aplicables, así como las circunstancias especiales, razones particulares o causas inmediatas que se hayan tenido en consideración para la emisión del acto, debiendo existir una adecuación entre los motivos aducidos y las normas aplicadas al caso y constar en el propio acto administrativo;</w:t>
      </w:r>
    </w:p>
    <w:p w14:paraId="10E89D88" w14:textId="77777777" w:rsidR="0097428C" w:rsidRPr="000B3566" w:rsidRDefault="0097428C" w:rsidP="0097428C">
      <w:pPr>
        <w:shd w:val="clear" w:color="auto" w:fill="FFFFFF"/>
        <w:autoSpaceDE w:val="0"/>
        <w:autoSpaceDN w:val="0"/>
        <w:adjustRightInd w:val="0"/>
        <w:ind w:left="567" w:right="567"/>
        <w:contextualSpacing/>
        <w:jc w:val="both"/>
        <w:rPr>
          <w:rFonts w:ascii="Arial" w:hAnsi="Arial" w:cs="Arial"/>
          <w:iCs/>
          <w:sz w:val="20"/>
          <w:szCs w:val="20"/>
        </w:rPr>
      </w:pPr>
    </w:p>
    <w:p w14:paraId="46F03256" w14:textId="77777777" w:rsidR="0097428C" w:rsidRPr="000B3566" w:rsidRDefault="0097428C" w:rsidP="0097428C">
      <w:pPr>
        <w:shd w:val="clear" w:color="auto" w:fill="FFFFFF"/>
        <w:autoSpaceDE w:val="0"/>
        <w:autoSpaceDN w:val="0"/>
        <w:adjustRightInd w:val="0"/>
        <w:ind w:left="567" w:right="567"/>
        <w:contextualSpacing/>
        <w:jc w:val="both"/>
        <w:rPr>
          <w:rFonts w:ascii="Arial" w:hAnsi="Arial" w:cs="Arial"/>
          <w:b/>
          <w:iCs/>
          <w:sz w:val="20"/>
          <w:szCs w:val="20"/>
        </w:rPr>
      </w:pPr>
      <w:r w:rsidRPr="000B3566">
        <w:rPr>
          <w:rFonts w:ascii="Arial" w:hAnsi="Arial" w:cs="Arial"/>
          <w:iCs/>
          <w:sz w:val="20"/>
          <w:szCs w:val="20"/>
        </w:rPr>
        <w:t xml:space="preserve">IX. </w:t>
      </w:r>
      <w:r w:rsidRPr="000B3566">
        <w:rPr>
          <w:rFonts w:ascii="Arial" w:hAnsi="Arial" w:cs="Arial"/>
          <w:b/>
          <w:iCs/>
          <w:sz w:val="20"/>
          <w:szCs w:val="20"/>
        </w:rPr>
        <w:t>Expedirse de conformidad con el procedimiento que establecen los ordenamientos aplicables y en su defecto, por lo dispuesto en esta Ley; y</w:t>
      </w:r>
    </w:p>
    <w:p w14:paraId="07C7F579" w14:textId="77777777" w:rsidR="0097428C" w:rsidRPr="000B3566" w:rsidRDefault="0097428C" w:rsidP="0097428C">
      <w:pPr>
        <w:shd w:val="clear" w:color="auto" w:fill="FFFFFF"/>
        <w:autoSpaceDE w:val="0"/>
        <w:autoSpaceDN w:val="0"/>
        <w:adjustRightInd w:val="0"/>
        <w:ind w:left="567" w:right="567"/>
        <w:contextualSpacing/>
        <w:jc w:val="both"/>
        <w:rPr>
          <w:rFonts w:ascii="Arial" w:hAnsi="Arial" w:cs="Arial"/>
          <w:iCs/>
          <w:sz w:val="20"/>
          <w:szCs w:val="20"/>
        </w:rPr>
      </w:pPr>
    </w:p>
    <w:p w14:paraId="1D20C979" w14:textId="77777777" w:rsidR="0097428C" w:rsidRPr="000B3566" w:rsidRDefault="0097428C" w:rsidP="0097428C">
      <w:pPr>
        <w:shd w:val="clear" w:color="auto" w:fill="FFFFFF"/>
        <w:tabs>
          <w:tab w:val="left" w:pos="993"/>
        </w:tabs>
        <w:ind w:left="567" w:right="567"/>
        <w:contextualSpacing/>
        <w:jc w:val="both"/>
        <w:rPr>
          <w:rFonts w:ascii="Arial" w:hAnsi="Arial" w:cs="Arial"/>
          <w:iCs/>
          <w:sz w:val="20"/>
          <w:szCs w:val="20"/>
        </w:rPr>
      </w:pPr>
      <w:r w:rsidRPr="000B3566">
        <w:rPr>
          <w:rFonts w:ascii="Arial" w:hAnsi="Arial" w:cs="Arial"/>
          <w:iCs/>
          <w:sz w:val="20"/>
          <w:szCs w:val="20"/>
        </w:rPr>
        <w:t xml:space="preserve">X. Expedirse de manera congruente con lo solicitado y </w:t>
      </w:r>
      <w:r w:rsidRPr="000B3566">
        <w:rPr>
          <w:rFonts w:ascii="Arial" w:hAnsi="Arial" w:cs="Arial"/>
          <w:b/>
          <w:bCs/>
          <w:iCs/>
          <w:sz w:val="20"/>
          <w:szCs w:val="20"/>
        </w:rPr>
        <w:t xml:space="preserve">resolver expresamente todos los puntos propuestos por los interesados </w:t>
      </w:r>
      <w:r w:rsidRPr="000B3566">
        <w:rPr>
          <w:rFonts w:ascii="Arial" w:hAnsi="Arial" w:cs="Arial"/>
          <w:iCs/>
          <w:sz w:val="20"/>
          <w:szCs w:val="20"/>
        </w:rPr>
        <w:t>o previstos por las normas.</w:t>
      </w:r>
    </w:p>
    <w:p w14:paraId="0DDDE85F" w14:textId="77777777" w:rsidR="0097428C" w:rsidRPr="000B3566" w:rsidRDefault="0097428C" w:rsidP="0097428C">
      <w:pPr>
        <w:shd w:val="clear" w:color="auto" w:fill="FFFFFF"/>
        <w:tabs>
          <w:tab w:val="left" w:pos="993"/>
        </w:tabs>
        <w:ind w:left="567" w:right="567"/>
        <w:contextualSpacing/>
        <w:jc w:val="both"/>
        <w:rPr>
          <w:rFonts w:ascii="Arial" w:hAnsi="Arial" w:cs="Arial"/>
          <w:iCs/>
          <w:sz w:val="20"/>
          <w:szCs w:val="20"/>
        </w:rPr>
      </w:pPr>
      <w:r w:rsidRPr="000B3566">
        <w:rPr>
          <w:rFonts w:ascii="Arial" w:hAnsi="Arial" w:cs="Arial"/>
          <w:iCs/>
          <w:sz w:val="20"/>
          <w:szCs w:val="20"/>
        </w:rPr>
        <w:t>…</w:t>
      </w:r>
    </w:p>
    <w:p w14:paraId="15284DF2" w14:textId="77777777" w:rsidR="0097428C" w:rsidRPr="000B3566" w:rsidRDefault="0097428C" w:rsidP="0097428C">
      <w:pPr>
        <w:shd w:val="clear" w:color="auto" w:fill="FFFFFF"/>
        <w:tabs>
          <w:tab w:val="left" w:pos="993"/>
        </w:tabs>
        <w:ind w:left="567" w:right="567"/>
        <w:contextualSpacing/>
        <w:jc w:val="both"/>
        <w:rPr>
          <w:rFonts w:ascii="Arial" w:hAnsi="Arial" w:cs="Arial"/>
          <w:b/>
          <w:iCs/>
          <w:sz w:val="20"/>
          <w:szCs w:val="20"/>
        </w:rPr>
      </w:pPr>
      <w:r w:rsidRPr="000B3566">
        <w:rPr>
          <w:rFonts w:ascii="Arial" w:hAnsi="Arial" w:cs="Arial"/>
          <w:b/>
          <w:iCs/>
          <w:sz w:val="20"/>
          <w:szCs w:val="20"/>
        </w:rPr>
        <w:t>(Énfasis añadido)</w:t>
      </w:r>
    </w:p>
    <w:p w14:paraId="4642F0B1" w14:textId="77777777" w:rsidR="0097428C" w:rsidRPr="000B3566" w:rsidRDefault="0097428C" w:rsidP="0097428C">
      <w:pPr>
        <w:autoSpaceDE w:val="0"/>
        <w:autoSpaceDN w:val="0"/>
        <w:adjustRightInd w:val="0"/>
        <w:spacing w:line="360" w:lineRule="auto"/>
        <w:contextualSpacing/>
        <w:jc w:val="both"/>
        <w:rPr>
          <w:rFonts w:ascii="Arial" w:hAnsi="Arial" w:cs="Arial"/>
          <w:bCs/>
          <w:iCs/>
        </w:rPr>
      </w:pPr>
    </w:p>
    <w:p w14:paraId="11187D7C" w14:textId="77777777" w:rsidR="0097428C" w:rsidRPr="000B3566" w:rsidRDefault="0097428C" w:rsidP="0097428C">
      <w:pPr>
        <w:autoSpaceDE w:val="0"/>
        <w:autoSpaceDN w:val="0"/>
        <w:adjustRightInd w:val="0"/>
        <w:spacing w:line="360" w:lineRule="auto"/>
        <w:contextualSpacing/>
        <w:jc w:val="both"/>
        <w:rPr>
          <w:rFonts w:ascii="Arial" w:hAnsi="Arial" w:cs="Arial"/>
          <w:bCs/>
          <w:iCs/>
        </w:rPr>
      </w:pPr>
      <w:r w:rsidRPr="000B3566">
        <w:rPr>
          <w:rFonts w:ascii="Arial" w:hAnsi="Arial" w:cs="Arial"/>
          <w:bCs/>
          <w:iCs/>
        </w:rPr>
        <w:t xml:space="preserve">Como puede observarse en los fundamentos legales citados, todo acto administrativo debe ser expedido de conformidad con el procedimiento que establece el ordenamiento aplicable, que en este caso es la ley de Transparencia, pues esta regula la atención y tramite a las solicitud de información pública; y que dicho acto debe contar con la debida y suficiente fundamentación y motivación; </w:t>
      </w:r>
      <w:r w:rsidRPr="000B3566">
        <w:rPr>
          <w:rFonts w:ascii="Arial" w:hAnsi="Arial" w:cs="Arial"/>
        </w:rPr>
        <w:t xml:space="preserve">entendiéndose por </w:t>
      </w:r>
      <w:r w:rsidRPr="000B3566">
        <w:rPr>
          <w:rFonts w:ascii="Arial" w:hAnsi="Arial" w:cs="Arial"/>
          <w:b/>
        </w:rPr>
        <w:t xml:space="preserve">FUNDAMENTACIÓN </w:t>
      </w:r>
      <w:r w:rsidRPr="000B3566">
        <w:rPr>
          <w:rFonts w:ascii="Arial" w:hAnsi="Arial" w:cs="Arial"/>
          <w:bCs/>
          <w:iCs/>
        </w:rPr>
        <w:t>el señalamiento de manera precisa de los artículos o preceptos jurídicos en los que descansa su determinación y que sirvan de base legal para sustentar la misma</w:t>
      </w:r>
      <w:r w:rsidRPr="000B3566">
        <w:rPr>
          <w:rFonts w:ascii="Arial" w:hAnsi="Arial" w:cs="Arial"/>
          <w:b/>
          <w:bCs/>
          <w:iCs/>
        </w:rPr>
        <w:t xml:space="preserve">; y por MOTIVACIÓN, </w:t>
      </w:r>
      <w:r w:rsidRPr="000B3566">
        <w:rPr>
          <w:rFonts w:ascii="Arial" w:hAnsi="Arial" w:cs="Arial"/>
          <w:bCs/>
          <w:iCs/>
        </w:rPr>
        <w:t>el señalamiento y acreditación de los motivos, razones o circunstancias en las cuales el sujeto obligado apoya su determinación; situación que no aconteció en el presente caso.</w:t>
      </w:r>
    </w:p>
    <w:p w14:paraId="60E74E5D" w14:textId="49792D4A" w:rsidR="0097428C" w:rsidRDefault="0097428C" w:rsidP="0097428C">
      <w:pPr>
        <w:autoSpaceDE w:val="0"/>
        <w:autoSpaceDN w:val="0"/>
        <w:adjustRightInd w:val="0"/>
        <w:spacing w:line="360" w:lineRule="auto"/>
        <w:contextualSpacing/>
        <w:jc w:val="both"/>
        <w:rPr>
          <w:rFonts w:ascii="Arial" w:hAnsi="Arial" w:cs="Arial"/>
          <w:lang w:val="es-ES"/>
        </w:rPr>
      </w:pPr>
    </w:p>
    <w:p w14:paraId="48CB3B56" w14:textId="77777777" w:rsidR="00FE708E" w:rsidRPr="000B3566" w:rsidRDefault="00FE708E" w:rsidP="0097428C">
      <w:pPr>
        <w:autoSpaceDE w:val="0"/>
        <w:autoSpaceDN w:val="0"/>
        <w:adjustRightInd w:val="0"/>
        <w:spacing w:line="360" w:lineRule="auto"/>
        <w:contextualSpacing/>
        <w:jc w:val="both"/>
        <w:rPr>
          <w:rFonts w:ascii="Arial" w:hAnsi="Arial" w:cs="Arial"/>
          <w:lang w:val="es-ES"/>
        </w:rPr>
      </w:pPr>
    </w:p>
    <w:p w14:paraId="24B629D1" w14:textId="77777777" w:rsidR="0097428C" w:rsidRPr="000B3566" w:rsidRDefault="0097428C" w:rsidP="0097428C">
      <w:pPr>
        <w:autoSpaceDE w:val="0"/>
        <w:autoSpaceDN w:val="0"/>
        <w:adjustRightInd w:val="0"/>
        <w:spacing w:line="360" w:lineRule="auto"/>
        <w:jc w:val="both"/>
        <w:rPr>
          <w:rFonts w:ascii="Arial" w:hAnsi="Arial" w:cs="Arial"/>
          <w:bCs/>
          <w:iCs/>
        </w:rPr>
      </w:pPr>
      <w:r w:rsidRPr="000B3566">
        <w:rPr>
          <w:rFonts w:ascii="Arial" w:hAnsi="Arial" w:cs="Arial"/>
          <w:bCs/>
        </w:rPr>
        <w:lastRenderedPageBreak/>
        <w:t>Sirviendo de sustento a lo anteriormente determinado, las jurisprudencias emitidas por el Poder Judicial de la Federación, cuyos rubros señalan: FUNDAMENTACION Y MOTIVACION.</w:t>
      </w:r>
      <w:r w:rsidRPr="000B3566">
        <w:rPr>
          <w:rStyle w:val="Refdenotaalpie"/>
          <w:rFonts w:ascii="Arial" w:hAnsi="Arial" w:cs="Arial"/>
          <w:bCs/>
        </w:rPr>
        <w:footnoteReference w:id="5"/>
      </w:r>
      <w:r w:rsidRPr="000B3566">
        <w:rPr>
          <w:rFonts w:ascii="Arial" w:hAnsi="Arial" w:cs="Arial"/>
          <w:bCs/>
        </w:rPr>
        <w:t>; FUNDAMENTACIÓN Y MOTIVACIÓN. EL CUMPLIMIENTO DE TALES REQUISITOS NO SE LIMITA A LAS RESOLUCIONES DEFINITIVAS O QUE PONGAN FIN AL PROCEDIMIENTO</w:t>
      </w:r>
      <w:r w:rsidRPr="000B3566">
        <w:rPr>
          <w:rStyle w:val="Refdenotaalpie"/>
          <w:rFonts w:ascii="Arial" w:hAnsi="Arial" w:cs="Arial"/>
          <w:bCs/>
        </w:rPr>
        <w:footnoteReference w:id="6"/>
      </w:r>
      <w:r w:rsidRPr="000B3566">
        <w:rPr>
          <w:rFonts w:ascii="Arial" w:hAnsi="Arial" w:cs="Arial"/>
          <w:bCs/>
        </w:rPr>
        <w:t xml:space="preserve">; </w:t>
      </w:r>
      <w:r w:rsidRPr="000B3566">
        <w:rPr>
          <w:rFonts w:ascii="Arial" w:hAnsi="Arial" w:cs="Arial"/>
          <w:bCs/>
          <w:iCs/>
        </w:rPr>
        <w:t>COMPETENCIA DE LAS AUTORIDADES ADMINISTRATIVAS. EN EL MANDAMIENTO ESCRITO QUE CONTIENE EL ACTO DE MOLESTIA, DEBE SEÑALARSE CON PRECISIÓN EL PRECEPTO LEGAL QUE LES OTORGUE LA ATRIBUCIÓN EJERCIDA Y, EN SU CASO, LA RESPECTIVA FRACCIÓN, INCISO Y SUBINCISO</w:t>
      </w:r>
      <w:r w:rsidRPr="000B3566">
        <w:rPr>
          <w:rFonts w:ascii="Arial" w:hAnsi="Arial" w:cs="Arial"/>
          <w:bCs/>
          <w:iCs/>
          <w:vertAlign w:val="superscript"/>
        </w:rPr>
        <w:footnoteReference w:id="7"/>
      </w:r>
      <w:r w:rsidRPr="000B3566">
        <w:rPr>
          <w:rFonts w:ascii="Arial" w:hAnsi="Arial" w:cs="Arial"/>
          <w:bCs/>
          <w:iCs/>
        </w:rPr>
        <w:t>; y COMPETENCIA. SU FUNDAMENTACION ES REQUISITO ESENCIAL DEL ACTO DE AUTORIDAD.</w:t>
      </w:r>
      <w:r w:rsidRPr="000B3566">
        <w:rPr>
          <w:rFonts w:ascii="Arial" w:hAnsi="Arial" w:cs="Arial"/>
          <w:bCs/>
          <w:iCs/>
          <w:vertAlign w:val="superscript"/>
        </w:rPr>
        <w:footnoteReference w:id="8"/>
      </w:r>
    </w:p>
    <w:p w14:paraId="7B6EFD35" w14:textId="77777777" w:rsidR="0097428C" w:rsidRPr="000B3566" w:rsidRDefault="0097428C" w:rsidP="0097428C">
      <w:pPr>
        <w:widowControl w:val="0"/>
        <w:tabs>
          <w:tab w:val="num" w:pos="993"/>
        </w:tabs>
        <w:autoSpaceDE w:val="0"/>
        <w:autoSpaceDN w:val="0"/>
        <w:adjustRightInd w:val="0"/>
        <w:spacing w:line="360" w:lineRule="auto"/>
        <w:ind w:right="50"/>
        <w:jc w:val="both"/>
        <w:rPr>
          <w:rFonts w:ascii="Arial" w:hAnsi="Arial" w:cs="Arial"/>
          <w:bCs/>
          <w:iCs/>
        </w:rPr>
      </w:pPr>
    </w:p>
    <w:p w14:paraId="6BF4C2A0" w14:textId="77777777" w:rsidR="0097428C" w:rsidRPr="000B3566" w:rsidRDefault="0097428C" w:rsidP="0097428C">
      <w:pPr>
        <w:widowControl w:val="0"/>
        <w:tabs>
          <w:tab w:val="num" w:pos="993"/>
        </w:tabs>
        <w:autoSpaceDE w:val="0"/>
        <w:autoSpaceDN w:val="0"/>
        <w:adjustRightInd w:val="0"/>
        <w:spacing w:line="360" w:lineRule="auto"/>
        <w:ind w:right="50"/>
        <w:jc w:val="both"/>
        <w:rPr>
          <w:rFonts w:ascii="Arial" w:hAnsi="Arial" w:cs="Arial"/>
          <w:b/>
          <w:bCs/>
          <w:iCs/>
        </w:rPr>
      </w:pPr>
      <w:r w:rsidRPr="000B3566">
        <w:rPr>
          <w:rFonts w:ascii="Arial" w:hAnsi="Arial" w:cs="Arial"/>
          <w:bCs/>
          <w:iCs/>
        </w:rPr>
        <w:t xml:space="preserve">Por otra parte, todo acto administrativo también debe emitirse en plena observancia de los </w:t>
      </w:r>
      <w:r w:rsidRPr="000B3566">
        <w:rPr>
          <w:rFonts w:ascii="Arial" w:hAnsi="Arial" w:cs="Arial"/>
          <w:b/>
          <w:bCs/>
          <w:iCs/>
        </w:rPr>
        <w:t>principios de congruencia y exhaustividad</w:t>
      </w:r>
      <w:r w:rsidRPr="000B3566">
        <w:rPr>
          <w:rFonts w:ascii="Arial" w:hAnsi="Arial" w:cs="Arial"/>
          <w:bCs/>
          <w:iCs/>
        </w:rPr>
        <w:t xml:space="preserve">; </w:t>
      </w:r>
      <w:r w:rsidRPr="000B3566">
        <w:rPr>
          <w:rFonts w:ascii="Arial" w:hAnsi="Arial"/>
          <w:b/>
        </w:rPr>
        <w:t xml:space="preserve">entendiendo por lo primero </w:t>
      </w:r>
      <w:r w:rsidRPr="000B3566">
        <w:rPr>
          <w:rFonts w:ascii="Arial" w:hAnsi="Arial" w:cs="Arial"/>
          <w:b/>
        </w:rPr>
        <w:t>la</w:t>
      </w:r>
      <w:r w:rsidRPr="000B3566">
        <w:rPr>
          <w:rFonts w:ascii="Arial" w:hAnsi="Arial"/>
          <w:b/>
        </w:rPr>
        <w:t xml:space="preserve"> concordancia </w:t>
      </w:r>
      <w:r w:rsidRPr="000B3566">
        <w:rPr>
          <w:rFonts w:ascii="Arial" w:hAnsi="Arial" w:cs="Arial"/>
          <w:b/>
        </w:rPr>
        <w:t xml:space="preserve">que debe existir </w:t>
      </w:r>
      <w:r w:rsidRPr="000B3566">
        <w:rPr>
          <w:rFonts w:ascii="Arial" w:hAnsi="Arial"/>
          <w:b/>
        </w:rPr>
        <w:t xml:space="preserve">entre </w:t>
      </w:r>
      <w:r w:rsidRPr="000B3566">
        <w:rPr>
          <w:rFonts w:ascii="Arial" w:hAnsi="Arial" w:cs="Arial"/>
          <w:b/>
        </w:rPr>
        <w:t>el pedimento formulado</w:t>
      </w:r>
      <w:r w:rsidRPr="000B3566">
        <w:rPr>
          <w:rFonts w:ascii="Arial" w:hAnsi="Arial"/>
          <w:b/>
        </w:rPr>
        <w:t xml:space="preserve"> y la respuesta</w:t>
      </w:r>
      <w:r w:rsidRPr="000B3566">
        <w:rPr>
          <w:rFonts w:ascii="Arial" w:hAnsi="Arial" w:cs="Arial"/>
          <w:b/>
        </w:rPr>
        <w:t>,</w:t>
      </w:r>
      <w:r w:rsidRPr="000B3566">
        <w:rPr>
          <w:rFonts w:ascii="Arial" w:hAnsi="Arial"/>
          <w:b/>
        </w:rPr>
        <w:t xml:space="preserve"> y</w:t>
      </w:r>
      <w:r w:rsidRPr="000B3566">
        <w:rPr>
          <w:rFonts w:ascii="Arial" w:hAnsi="Arial"/>
        </w:rPr>
        <w:t xml:space="preserve"> </w:t>
      </w:r>
      <w:r w:rsidRPr="000B3566">
        <w:rPr>
          <w:rFonts w:ascii="Arial" w:hAnsi="Arial"/>
          <w:b/>
        </w:rPr>
        <w:t>por lo segundo</w:t>
      </w:r>
      <w:r w:rsidRPr="000B3566">
        <w:rPr>
          <w:rFonts w:ascii="Arial" w:hAnsi="Arial" w:cs="Arial"/>
          <w:b/>
        </w:rPr>
        <w:t xml:space="preserve"> el que</w:t>
      </w:r>
      <w:r w:rsidRPr="000B3566">
        <w:rPr>
          <w:rFonts w:ascii="Arial" w:hAnsi="Arial"/>
          <w:b/>
        </w:rPr>
        <w:t xml:space="preserve"> se pronuncie expresamente sobre cada </w:t>
      </w:r>
      <w:r w:rsidRPr="000B3566">
        <w:rPr>
          <w:rFonts w:ascii="Arial" w:hAnsi="Arial" w:cs="Arial"/>
          <w:b/>
        </w:rPr>
        <w:t>uno de los puntos pedidos,</w:t>
      </w:r>
      <w:r w:rsidRPr="000B3566">
        <w:rPr>
          <w:rFonts w:ascii="Arial" w:hAnsi="Arial" w:cs="Arial"/>
        </w:rPr>
        <w:t xml:space="preserve"> lo que en materia de transparencia y acceso a la información pública se traduce en que las respuestas que emitan los sujetos obligados deben guardar una relación lógica con lo solicitado y atender de manera precisa, expresa y categórica, </w:t>
      </w:r>
      <w:r w:rsidRPr="000B3566">
        <w:rPr>
          <w:rFonts w:ascii="Arial" w:hAnsi="Arial" w:cs="Arial"/>
          <w:b/>
        </w:rPr>
        <w:lastRenderedPageBreak/>
        <w:t xml:space="preserve">cada uno de los contenidos de información requeridos por el recurrente, </w:t>
      </w:r>
      <w:r w:rsidRPr="000B3566">
        <w:rPr>
          <w:rFonts w:ascii="Arial" w:hAnsi="Arial" w:cs="Arial"/>
          <w:b/>
          <w:bCs/>
          <w:iCs/>
        </w:rPr>
        <w:t>a fin de satisfacer la solicitud correspondiente; circunstancia que en el presente caso no aconteció, en virtud de que el sujeto obligado no dio el tratamiento que por ley estaba obligado a dar a la solicitud de acceso a la información que nos atiende, no proporcionando toda la información solicitada por la persona hoy recurrente.</w:t>
      </w:r>
    </w:p>
    <w:p w14:paraId="32D9281A" w14:textId="77777777" w:rsidR="007741C6" w:rsidRPr="000B3566" w:rsidRDefault="007741C6" w:rsidP="0097428C">
      <w:pPr>
        <w:widowControl w:val="0"/>
        <w:tabs>
          <w:tab w:val="num" w:pos="993"/>
        </w:tabs>
        <w:autoSpaceDE w:val="0"/>
        <w:autoSpaceDN w:val="0"/>
        <w:adjustRightInd w:val="0"/>
        <w:spacing w:line="360" w:lineRule="auto"/>
        <w:ind w:right="50"/>
        <w:jc w:val="both"/>
        <w:rPr>
          <w:rFonts w:ascii="Arial" w:hAnsi="Arial" w:cs="Arial"/>
          <w:bCs/>
          <w:iCs/>
        </w:rPr>
      </w:pPr>
    </w:p>
    <w:p w14:paraId="27DB7561" w14:textId="08F82612" w:rsidR="0097428C" w:rsidRPr="00C11F4C" w:rsidRDefault="0097428C" w:rsidP="0097428C">
      <w:pPr>
        <w:widowControl w:val="0"/>
        <w:tabs>
          <w:tab w:val="num" w:pos="993"/>
        </w:tabs>
        <w:autoSpaceDE w:val="0"/>
        <w:autoSpaceDN w:val="0"/>
        <w:adjustRightInd w:val="0"/>
        <w:spacing w:line="360" w:lineRule="auto"/>
        <w:ind w:right="50"/>
        <w:jc w:val="both"/>
        <w:rPr>
          <w:rFonts w:ascii="Arial" w:hAnsi="Arial" w:cs="Arial"/>
          <w:bCs/>
          <w:iCs/>
        </w:rPr>
      </w:pPr>
      <w:r w:rsidRPr="000B3566">
        <w:rPr>
          <w:rFonts w:ascii="Arial" w:hAnsi="Arial" w:cs="Arial"/>
          <w:bCs/>
          <w:iCs/>
        </w:rPr>
        <w:t>Sirviendo de apoyo a lo anterior, las jurisprudencias emitidas por el Poder Judicial de la Federación, cuyo rubro señalan “CONGRUENCIA Y EXHAUSTIVIDAD, PRINCIPIOS DE. SUS DIFERENCIAS Y CASO EN QUE EL LAUDO INCUMPLE EL SEGUNDO DE ELLOS</w:t>
      </w:r>
      <w:r w:rsidRPr="000B3566">
        <w:rPr>
          <w:rFonts w:ascii="Arial" w:hAnsi="Arial" w:cs="Arial"/>
          <w:bCs/>
          <w:iCs/>
          <w:vertAlign w:val="superscript"/>
        </w:rPr>
        <w:footnoteReference w:id="9"/>
      </w:r>
      <w:r w:rsidRPr="000B3566">
        <w:rPr>
          <w:rFonts w:ascii="Arial" w:hAnsi="Arial" w:cs="Arial"/>
          <w:bCs/>
          <w:iCs/>
        </w:rPr>
        <w:t>” y “GARANTÍA DE DEFENSA Y PRINCIPIO DE EXHAUSTIVIDAD Y CONGRUENCIA. ALCANCES</w:t>
      </w:r>
      <w:r w:rsidRPr="000B3566">
        <w:rPr>
          <w:rFonts w:ascii="Arial" w:hAnsi="Arial" w:cs="Arial"/>
          <w:bCs/>
          <w:iCs/>
          <w:vertAlign w:val="superscript"/>
        </w:rPr>
        <w:footnoteReference w:id="10"/>
      </w:r>
      <w:r w:rsidRPr="000B3566">
        <w:rPr>
          <w:rFonts w:ascii="Arial" w:hAnsi="Arial" w:cs="Arial"/>
          <w:bCs/>
          <w:iCs/>
        </w:rPr>
        <w:t>”</w:t>
      </w:r>
    </w:p>
    <w:p w14:paraId="2932CA74" w14:textId="77777777" w:rsidR="0097428C" w:rsidRPr="00FF09B8" w:rsidRDefault="0097428C" w:rsidP="0097428C">
      <w:pPr>
        <w:widowControl w:val="0"/>
        <w:tabs>
          <w:tab w:val="num" w:pos="993"/>
        </w:tabs>
        <w:autoSpaceDE w:val="0"/>
        <w:autoSpaceDN w:val="0"/>
        <w:adjustRightInd w:val="0"/>
        <w:spacing w:line="360" w:lineRule="auto"/>
        <w:ind w:right="50"/>
        <w:jc w:val="both"/>
        <w:rPr>
          <w:rFonts w:ascii="Arial" w:hAnsi="Arial" w:cs="Arial"/>
          <w:bCs/>
          <w:iCs/>
        </w:rPr>
      </w:pPr>
    </w:p>
    <w:p w14:paraId="1C8D912B" w14:textId="49DF8395" w:rsidR="0097428C" w:rsidRDefault="0097428C" w:rsidP="0097428C">
      <w:pPr>
        <w:tabs>
          <w:tab w:val="left" w:pos="1134"/>
        </w:tabs>
        <w:autoSpaceDE w:val="0"/>
        <w:autoSpaceDN w:val="0"/>
        <w:adjustRightInd w:val="0"/>
        <w:spacing w:line="360" w:lineRule="auto"/>
        <w:jc w:val="both"/>
        <w:rPr>
          <w:rFonts w:ascii="Arial" w:hAnsi="Arial" w:cs="Arial"/>
        </w:rPr>
      </w:pPr>
      <w:r w:rsidRPr="00FF09B8">
        <w:rPr>
          <w:rFonts w:ascii="Arial" w:eastAsia="Calibri" w:hAnsi="Arial" w:cs="Arial"/>
          <w:bCs/>
          <w:iCs/>
        </w:rPr>
        <w:t>Consecuentemente y ante el c</w:t>
      </w:r>
      <w:r>
        <w:rPr>
          <w:rFonts w:ascii="Arial" w:eastAsia="Calibri" w:hAnsi="Arial" w:cs="Arial"/>
          <w:bCs/>
          <w:iCs/>
        </w:rPr>
        <w:t>ú</w:t>
      </w:r>
      <w:r w:rsidRPr="00FF09B8">
        <w:rPr>
          <w:rFonts w:ascii="Arial" w:eastAsia="Calibri" w:hAnsi="Arial" w:cs="Arial"/>
          <w:bCs/>
          <w:iCs/>
        </w:rPr>
        <w:t xml:space="preserve">mulo probatorio </w:t>
      </w:r>
      <w:r w:rsidRPr="00FF09B8">
        <w:rPr>
          <w:rFonts w:ascii="Arial" w:hAnsi="Arial" w:cs="Arial"/>
        </w:rPr>
        <w:t>desprendido</w:t>
      </w:r>
      <w:r w:rsidRPr="00FF09B8">
        <w:rPr>
          <w:rFonts w:ascii="Arial" w:hAnsi="Arial" w:cs="Arial"/>
          <w:bCs/>
        </w:rPr>
        <w:t xml:space="preserve"> de las documentales consistentes en: la solicitud de acceso a la información pública folio </w:t>
      </w:r>
      <w:r>
        <w:rPr>
          <w:rFonts w:ascii="Arial" w:hAnsi="Arial" w:cs="Arial"/>
        </w:rPr>
        <w:t>0107000176320</w:t>
      </w:r>
      <w:r>
        <w:rPr>
          <w:rFonts w:ascii="Arial" w:hAnsi="Arial" w:cs="Arial"/>
          <w:bCs/>
          <w:lang w:val="es-ES"/>
        </w:rPr>
        <w:t>;</w:t>
      </w:r>
      <w:r>
        <w:rPr>
          <w:rFonts w:ascii="Arial" w:hAnsi="Arial" w:cs="Arial"/>
          <w:bCs/>
        </w:rPr>
        <w:t xml:space="preserve"> y </w:t>
      </w:r>
      <w:r w:rsidRPr="00FF09B8">
        <w:rPr>
          <w:rFonts w:ascii="Arial" w:hAnsi="Arial" w:cs="Arial"/>
          <w:bCs/>
        </w:rPr>
        <w:t xml:space="preserve">la respuesta </w:t>
      </w:r>
      <w:r>
        <w:rPr>
          <w:rFonts w:ascii="Arial" w:hAnsi="Arial" w:cs="Arial"/>
          <w:bCs/>
        </w:rPr>
        <w:t xml:space="preserve">del sujeto obligado </w:t>
      </w:r>
      <w:r w:rsidRPr="00FF09B8">
        <w:rPr>
          <w:rFonts w:ascii="Arial" w:hAnsi="Arial" w:cs="Arial"/>
          <w:bCs/>
        </w:rPr>
        <w:t xml:space="preserve">contenida </w:t>
      </w:r>
      <w:r w:rsidRPr="00513813">
        <w:rPr>
          <w:rFonts w:ascii="Arial" w:hAnsi="Arial" w:cs="Arial"/>
          <w:bCs/>
        </w:rPr>
        <w:t xml:space="preserve">en </w:t>
      </w:r>
      <w:r>
        <w:rPr>
          <w:rFonts w:ascii="Arial" w:hAnsi="Arial" w:cs="Arial"/>
          <w:bCs/>
        </w:rPr>
        <w:t xml:space="preserve">el </w:t>
      </w:r>
      <w:r w:rsidRPr="00513813">
        <w:rPr>
          <w:rFonts w:ascii="Arial" w:eastAsia="Calibri" w:hAnsi="Arial" w:cs="Arial"/>
          <w:bCs/>
        </w:rPr>
        <w:t>oficio</w:t>
      </w:r>
      <w:r>
        <w:rPr>
          <w:rFonts w:ascii="Arial" w:eastAsia="Calibri" w:hAnsi="Arial" w:cs="Arial"/>
          <w:bCs/>
        </w:rPr>
        <w:t xml:space="preserve"> </w:t>
      </w:r>
      <w:r w:rsidRPr="0097428C">
        <w:rPr>
          <w:rFonts w:ascii="Arial" w:eastAsia="Calibri" w:hAnsi="Arial" w:cs="Arial"/>
          <w:bCs/>
        </w:rPr>
        <w:t>CDMX/SOBSE/SUT/3601/2021</w:t>
      </w:r>
      <w:r>
        <w:rPr>
          <w:rFonts w:ascii="Arial" w:eastAsia="Calibri" w:hAnsi="Arial" w:cs="Arial"/>
          <w:bCs/>
        </w:rPr>
        <w:t xml:space="preserve"> </w:t>
      </w:r>
      <w:r w:rsidRPr="008B2066">
        <w:rPr>
          <w:rFonts w:ascii="Arial" w:eastAsia="Calibri" w:hAnsi="Arial" w:cs="Arial"/>
          <w:bCs/>
        </w:rPr>
        <w:t xml:space="preserve">de fecha </w:t>
      </w:r>
      <w:r>
        <w:rPr>
          <w:rFonts w:ascii="Arial" w:eastAsia="Calibri" w:hAnsi="Arial" w:cs="Arial"/>
          <w:bCs/>
        </w:rPr>
        <w:t>19 de octubre</w:t>
      </w:r>
      <w:r w:rsidRPr="008B2066">
        <w:rPr>
          <w:rFonts w:ascii="Arial" w:eastAsia="Calibri" w:hAnsi="Arial" w:cs="Arial"/>
          <w:bCs/>
        </w:rPr>
        <w:t xml:space="preserve"> de 2021, emitido por</w:t>
      </w:r>
      <w:r>
        <w:rPr>
          <w:rFonts w:ascii="Arial" w:eastAsia="Calibri" w:hAnsi="Arial" w:cs="Arial"/>
          <w:bCs/>
        </w:rPr>
        <w:t xml:space="preserve"> la Subdirectora de su Unidad de Transparencia; y </w:t>
      </w:r>
      <w:r>
        <w:rPr>
          <w:rFonts w:ascii="Arial" w:hAnsi="Arial" w:cs="Arial"/>
          <w:bCs/>
        </w:rPr>
        <w:t xml:space="preserve">a </w:t>
      </w:r>
      <w:r w:rsidRPr="00FF09B8">
        <w:rPr>
          <w:rFonts w:ascii="Arial" w:hAnsi="Arial" w:cs="Arial"/>
          <w:bCs/>
        </w:rPr>
        <w:t xml:space="preserve">las cuales se les concede valor probatorio, en términos de lo dispuesto por los artículos 373, 374 y 402, del Código de Procedimientos Civiles para el Distrito Federal, ordenamiento de aplicación supletoria a la Ley de la materia, así como con apoyo en el criterio orientador de la tesis P. XLVII/96 de rubro PRUEBAS. SU VALORACIÓN CONFORME A LAS REGLAS DE LA LÓGICA Y DE LA EXPERIENCIA, </w:t>
      </w:r>
      <w:r w:rsidRPr="00FF09B8">
        <w:rPr>
          <w:rFonts w:ascii="Arial" w:hAnsi="Arial" w:cs="Arial"/>
          <w:bCs/>
        </w:rPr>
        <w:lastRenderedPageBreak/>
        <w:t>NO ES VIOLATORIA DEL ARTÍCULO 14 CONSTITUCIONAL (ARTÍCULO 402 DEL CÓDIGO D</w:t>
      </w:r>
      <w:r w:rsidRPr="00D65A20">
        <w:rPr>
          <w:rFonts w:ascii="Arial" w:hAnsi="Arial" w:cs="Arial"/>
          <w:bCs/>
        </w:rPr>
        <w:t>E PRO</w:t>
      </w:r>
      <w:r w:rsidRPr="0074516A">
        <w:rPr>
          <w:rFonts w:ascii="Arial" w:hAnsi="Arial" w:cs="Arial"/>
          <w:bCs/>
        </w:rPr>
        <w:t>CEDIMIENTOS CIVILES PARA EL DISTRITO FEDERAL)</w:t>
      </w:r>
      <w:r w:rsidRPr="0074516A">
        <w:rPr>
          <w:rFonts w:ascii="Arial" w:hAnsi="Arial" w:cs="Arial"/>
          <w:bCs/>
          <w:vertAlign w:val="superscript"/>
        </w:rPr>
        <w:footnoteReference w:id="11"/>
      </w:r>
      <w:r w:rsidRPr="0074516A">
        <w:rPr>
          <w:rFonts w:ascii="Arial" w:hAnsi="Arial" w:cs="Arial"/>
          <w:bCs/>
        </w:rPr>
        <w:t xml:space="preserve">; </w:t>
      </w:r>
      <w:r w:rsidRPr="0074516A">
        <w:rPr>
          <w:rFonts w:ascii="Arial" w:eastAsia="Calibri" w:hAnsi="Arial" w:cs="Arial"/>
          <w:bCs/>
          <w:iCs/>
        </w:rPr>
        <w:t xml:space="preserve">este órgano resolutor llega a la conclusión de que el actuar y la respuesta </w:t>
      </w:r>
      <w:r w:rsidRPr="0087548C">
        <w:rPr>
          <w:rFonts w:ascii="Arial" w:eastAsia="Calibri" w:hAnsi="Arial" w:cs="Arial"/>
          <w:bCs/>
          <w:iCs/>
        </w:rPr>
        <w:t xml:space="preserve">emitida por el sujeto obligado </w:t>
      </w:r>
      <w:r w:rsidRPr="002D7269">
        <w:rPr>
          <w:rFonts w:ascii="Arial" w:eastAsia="Calibri" w:hAnsi="Arial" w:cs="Arial"/>
          <w:bCs/>
          <w:iCs/>
        </w:rPr>
        <w:t xml:space="preserve">deviene desapegada a derecho; y de ahí </w:t>
      </w:r>
      <w:r w:rsidRPr="002D7269">
        <w:rPr>
          <w:rFonts w:ascii="Arial" w:eastAsia="Calibri" w:hAnsi="Arial" w:cs="Arial"/>
          <w:b/>
          <w:iCs/>
        </w:rPr>
        <w:t>lo fundado del agravio</w:t>
      </w:r>
      <w:r w:rsidRPr="002D7269">
        <w:rPr>
          <w:rFonts w:ascii="Arial" w:eastAsia="Calibri" w:hAnsi="Arial" w:cs="Arial"/>
          <w:bCs/>
          <w:iCs/>
        </w:rPr>
        <w:t xml:space="preserve"> esgrimido</w:t>
      </w:r>
      <w:r w:rsidRPr="003A5D78">
        <w:rPr>
          <w:rFonts w:ascii="Arial" w:eastAsia="Calibri" w:hAnsi="Arial" w:cs="Arial"/>
          <w:bCs/>
          <w:iCs/>
        </w:rPr>
        <w:t xml:space="preserve"> por la persona recurrente; razón por la cual, se determina con </w:t>
      </w:r>
      <w:r w:rsidRPr="00E41739">
        <w:rPr>
          <w:rFonts w:ascii="Arial" w:eastAsia="Calibri" w:hAnsi="Arial" w:cs="Arial"/>
          <w:bCs/>
          <w:iCs/>
        </w:rPr>
        <w:t xml:space="preserve">fundamento en la </w:t>
      </w:r>
      <w:r w:rsidRPr="00E41739">
        <w:rPr>
          <w:rFonts w:ascii="Arial" w:eastAsia="Calibri" w:hAnsi="Arial" w:cs="Arial"/>
          <w:b/>
          <w:iCs/>
        </w:rPr>
        <w:t>fracción V del artículo 244 de la Ley de la materia, el REVOCAR</w:t>
      </w:r>
      <w:r>
        <w:rPr>
          <w:rFonts w:ascii="Arial" w:eastAsia="Calibri" w:hAnsi="Arial" w:cs="Arial"/>
          <w:b/>
          <w:iCs/>
        </w:rPr>
        <w:t xml:space="preserve"> </w:t>
      </w:r>
      <w:r w:rsidRPr="003151FD">
        <w:rPr>
          <w:rFonts w:ascii="Arial" w:eastAsia="Calibri" w:hAnsi="Arial" w:cs="Arial"/>
          <w:bCs/>
          <w:iCs/>
        </w:rPr>
        <w:t xml:space="preserve">la referida respuesta </w:t>
      </w:r>
      <w:r w:rsidRPr="003151FD">
        <w:rPr>
          <w:rFonts w:ascii="Arial" w:hAnsi="Arial" w:cs="Arial"/>
        </w:rPr>
        <w:t>e instruir a</w:t>
      </w:r>
      <w:r>
        <w:rPr>
          <w:rFonts w:ascii="Arial" w:hAnsi="Arial" w:cs="Arial"/>
        </w:rPr>
        <w:t xml:space="preserve"> la </w:t>
      </w:r>
      <w:r>
        <w:rPr>
          <w:rFonts w:ascii="Arial" w:hAnsi="Arial" w:cs="Arial"/>
          <w:b/>
          <w:bCs/>
        </w:rPr>
        <w:t>SECRETARÍA DE OBRAS Y SERVICIOS</w:t>
      </w:r>
      <w:r w:rsidRPr="003151FD">
        <w:rPr>
          <w:rFonts w:ascii="Arial" w:hAnsi="Arial" w:cs="Arial"/>
        </w:rPr>
        <w:t>, a efecto de que:</w:t>
      </w:r>
    </w:p>
    <w:p w14:paraId="1EC7BDDA" w14:textId="6FCB1C0D" w:rsidR="00896224" w:rsidRDefault="00896224" w:rsidP="0097428C">
      <w:pPr>
        <w:tabs>
          <w:tab w:val="left" w:pos="1134"/>
        </w:tabs>
        <w:autoSpaceDE w:val="0"/>
        <w:autoSpaceDN w:val="0"/>
        <w:adjustRightInd w:val="0"/>
        <w:spacing w:line="360" w:lineRule="auto"/>
        <w:jc w:val="both"/>
        <w:rPr>
          <w:rFonts w:ascii="Arial" w:hAnsi="Arial" w:cs="Arial"/>
        </w:rPr>
      </w:pPr>
    </w:p>
    <w:p w14:paraId="5DFFFFFA" w14:textId="40668416" w:rsidR="00896224" w:rsidRPr="001C3DBB" w:rsidRDefault="005D2171" w:rsidP="00896224">
      <w:pPr>
        <w:pStyle w:val="Prrafodelista"/>
        <w:numPr>
          <w:ilvl w:val="0"/>
          <w:numId w:val="5"/>
        </w:numPr>
        <w:tabs>
          <w:tab w:val="left" w:pos="1134"/>
        </w:tabs>
        <w:autoSpaceDE w:val="0"/>
        <w:autoSpaceDN w:val="0"/>
        <w:adjustRightInd w:val="0"/>
        <w:spacing w:line="360" w:lineRule="auto"/>
        <w:jc w:val="both"/>
        <w:rPr>
          <w:rFonts w:ascii="Arial" w:eastAsia="Calibri" w:hAnsi="Arial" w:cs="Arial"/>
          <w:b/>
        </w:rPr>
      </w:pPr>
      <w:r w:rsidRPr="001C3DBB">
        <w:rPr>
          <w:rFonts w:ascii="Arial" w:eastAsia="Calibri" w:hAnsi="Arial" w:cs="Arial"/>
          <w:b/>
        </w:rPr>
        <w:t xml:space="preserve">Haga entrega en formato electrónico del </w:t>
      </w:r>
      <w:r w:rsidRPr="001C3DBB">
        <w:rPr>
          <w:rFonts w:ascii="Arial" w:eastAsia="Calibri" w:hAnsi="Arial" w:cs="Arial"/>
          <w:b/>
          <w:i/>
          <w:iCs/>
        </w:rPr>
        <w:t>“Manual de Funcionamiento de la Comisión de Admisión de Directores Responsables de Obra y Corresponsales”</w:t>
      </w:r>
      <w:r w:rsidRPr="001C3DBB">
        <w:rPr>
          <w:rFonts w:ascii="Arial" w:eastAsia="Calibri" w:hAnsi="Arial" w:cs="Arial"/>
          <w:b/>
        </w:rPr>
        <w:t xml:space="preserve"> al que hace referencia el Reglamento de Construcciones para el Distrito Federal</w:t>
      </w:r>
      <w:r w:rsidR="00875935" w:rsidRPr="001C3DBB">
        <w:rPr>
          <w:rFonts w:ascii="Arial" w:eastAsia="Calibri" w:hAnsi="Arial" w:cs="Arial"/>
          <w:b/>
        </w:rPr>
        <w:t>.</w:t>
      </w:r>
    </w:p>
    <w:p w14:paraId="37E629DE" w14:textId="77777777" w:rsidR="00875935" w:rsidRPr="001C3DBB" w:rsidRDefault="00875935" w:rsidP="00875935">
      <w:pPr>
        <w:pStyle w:val="Prrafodelista"/>
        <w:tabs>
          <w:tab w:val="left" w:pos="1134"/>
        </w:tabs>
        <w:autoSpaceDE w:val="0"/>
        <w:autoSpaceDN w:val="0"/>
        <w:adjustRightInd w:val="0"/>
        <w:spacing w:line="360" w:lineRule="auto"/>
        <w:jc w:val="both"/>
        <w:rPr>
          <w:rFonts w:ascii="Arial" w:eastAsia="Calibri" w:hAnsi="Arial" w:cs="Arial"/>
          <w:b/>
        </w:rPr>
      </w:pPr>
    </w:p>
    <w:p w14:paraId="6B6E1080" w14:textId="13E0F661" w:rsidR="00875935" w:rsidRPr="001C3DBB" w:rsidRDefault="00875935" w:rsidP="00896224">
      <w:pPr>
        <w:pStyle w:val="Prrafodelista"/>
        <w:numPr>
          <w:ilvl w:val="0"/>
          <w:numId w:val="5"/>
        </w:numPr>
        <w:tabs>
          <w:tab w:val="left" w:pos="1134"/>
        </w:tabs>
        <w:autoSpaceDE w:val="0"/>
        <w:autoSpaceDN w:val="0"/>
        <w:adjustRightInd w:val="0"/>
        <w:spacing w:line="360" w:lineRule="auto"/>
        <w:jc w:val="both"/>
        <w:rPr>
          <w:rFonts w:ascii="Arial" w:eastAsia="Calibri" w:hAnsi="Arial" w:cs="Arial"/>
          <w:b/>
        </w:rPr>
      </w:pPr>
      <w:r w:rsidRPr="001C3DBB">
        <w:rPr>
          <w:rFonts w:ascii="Arial" w:eastAsia="Calibri" w:hAnsi="Arial" w:cs="Arial"/>
          <w:b/>
        </w:rPr>
        <w:t>Proporcione el vínculo a la página web oficial en la cual dicho Manual esta publicado.</w:t>
      </w:r>
    </w:p>
    <w:p w14:paraId="3A343027" w14:textId="77777777" w:rsidR="00875935" w:rsidRPr="001C3DBB" w:rsidRDefault="00875935" w:rsidP="00875935">
      <w:pPr>
        <w:pStyle w:val="Prrafodelista"/>
        <w:rPr>
          <w:rFonts w:ascii="Arial" w:eastAsia="Calibri" w:hAnsi="Arial" w:cs="Arial"/>
          <w:b/>
        </w:rPr>
      </w:pPr>
    </w:p>
    <w:p w14:paraId="38589AB7" w14:textId="746CC0E6" w:rsidR="00875935" w:rsidRPr="001C3DBB" w:rsidRDefault="00875935" w:rsidP="00896224">
      <w:pPr>
        <w:pStyle w:val="Prrafodelista"/>
        <w:numPr>
          <w:ilvl w:val="0"/>
          <w:numId w:val="5"/>
        </w:numPr>
        <w:tabs>
          <w:tab w:val="left" w:pos="1134"/>
        </w:tabs>
        <w:autoSpaceDE w:val="0"/>
        <w:autoSpaceDN w:val="0"/>
        <w:adjustRightInd w:val="0"/>
        <w:spacing w:line="360" w:lineRule="auto"/>
        <w:jc w:val="both"/>
        <w:rPr>
          <w:rFonts w:ascii="Arial" w:eastAsia="Calibri" w:hAnsi="Arial" w:cs="Arial"/>
          <w:b/>
        </w:rPr>
      </w:pPr>
      <w:r w:rsidRPr="001C3DBB">
        <w:rPr>
          <w:rFonts w:ascii="Arial" w:eastAsia="Calibri" w:hAnsi="Arial" w:cs="Arial"/>
          <w:b/>
        </w:rPr>
        <w:t xml:space="preserve">En caso de no contar con lo solicitado, el sujeto obligado deberá </w:t>
      </w:r>
      <w:r w:rsidR="001C3DBB" w:rsidRPr="001C3DBB">
        <w:rPr>
          <w:rFonts w:ascii="Arial" w:eastAsia="Calibri" w:hAnsi="Arial" w:cs="Arial"/>
          <w:b/>
        </w:rPr>
        <w:t xml:space="preserve">realizar la </w:t>
      </w:r>
      <w:r w:rsidR="001C3DBB" w:rsidRPr="001C3DBB">
        <w:rPr>
          <w:rFonts w:ascii="Arial" w:eastAsia="Calibri" w:hAnsi="Arial" w:cs="Arial"/>
          <w:b/>
          <w:i/>
          <w:iCs/>
        </w:rPr>
        <w:t>“Declaración Formal de Inexistencia de la Información”</w:t>
      </w:r>
      <w:r w:rsidR="001C3DBB" w:rsidRPr="001C3DBB">
        <w:rPr>
          <w:rFonts w:ascii="Arial" w:eastAsia="Calibri" w:hAnsi="Arial" w:cs="Arial"/>
          <w:b/>
        </w:rPr>
        <w:t>, previo sometimiento a su Comité de Transparencia y de conformidad con el procedimiento contenido en el artículo 217 y 218 de la Ley de Transparencia.</w:t>
      </w:r>
    </w:p>
    <w:p w14:paraId="68568D06" w14:textId="77777777" w:rsidR="0097428C" w:rsidRPr="0097428C" w:rsidRDefault="0097428C" w:rsidP="0097428C">
      <w:pPr>
        <w:pStyle w:val="4GChar"/>
        <w:tabs>
          <w:tab w:val="left" w:pos="1134"/>
        </w:tabs>
        <w:autoSpaceDE w:val="0"/>
        <w:autoSpaceDN w:val="0"/>
        <w:adjustRightInd w:val="0"/>
        <w:spacing w:line="360" w:lineRule="auto"/>
        <w:rPr>
          <w:rFonts w:ascii="Arial" w:hAnsi="Arial" w:cs="Arial"/>
          <w:b/>
          <w:highlight w:val="green"/>
        </w:rPr>
      </w:pPr>
    </w:p>
    <w:p w14:paraId="0309C509" w14:textId="37B028B6" w:rsidR="0097428C" w:rsidRPr="00FE708E" w:rsidRDefault="0097428C" w:rsidP="002E22C4">
      <w:pPr>
        <w:pStyle w:val="Prrafodelista"/>
        <w:numPr>
          <w:ilvl w:val="0"/>
          <w:numId w:val="3"/>
        </w:numPr>
        <w:spacing w:line="360" w:lineRule="auto"/>
        <w:jc w:val="both"/>
        <w:rPr>
          <w:rFonts w:ascii="Arial" w:eastAsia="Times New Roman" w:hAnsi="Arial" w:cs="Arial"/>
          <w:b/>
          <w:bCs/>
        </w:rPr>
      </w:pPr>
      <w:r w:rsidRPr="001C3DBB">
        <w:rPr>
          <w:rFonts w:ascii="Arial" w:hAnsi="Arial" w:cs="Arial"/>
          <w:b/>
          <w:bCs/>
        </w:rPr>
        <w:lastRenderedPageBreak/>
        <w:t>Todo lo anterior, debiéndose notificar a la persona recurrente, a través del medio de notificación que este haya señalado para oír y recibir notificaciones en el presente medio de impugnación.</w:t>
      </w:r>
    </w:p>
    <w:p w14:paraId="7C16991E" w14:textId="77777777" w:rsidR="00FE708E" w:rsidRPr="002E22C4" w:rsidRDefault="00FE708E" w:rsidP="00FE708E">
      <w:pPr>
        <w:pStyle w:val="Prrafodelista"/>
        <w:spacing w:line="360" w:lineRule="auto"/>
        <w:jc w:val="both"/>
        <w:rPr>
          <w:rFonts w:ascii="Arial" w:eastAsia="Times New Roman" w:hAnsi="Arial" w:cs="Arial"/>
          <w:b/>
          <w:bCs/>
        </w:rPr>
      </w:pPr>
    </w:p>
    <w:p w14:paraId="28D8AE29" w14:textId="77777777" w:rsidR="0097428C" w:rsidRPr="00D65A20" w:rsidRDefault="0097428C" w:rsidP="0097428C">
      <w:pPr>
        <w:widowControl w:val="0"/>
        <w:tabs>
          <w:tab w:val="left" w:pos="7371"/>
        </w:tabs>
        <w:spacing w:line="360" w:lineRule="auto"/>
        <w:contextualSpacing/>
        <w:jc w:val="both"/>
        <w:rPr>
          <w:rFonts w:ascii="Arial" w:hAnsi="Arial" w:cs="Arial"/>
        </w:rPr>
      </w:pPr>
      <w:r w:rsidRPr="003151FD">
        <w:rPr>
          <w:rFonts w:ascii="Arial" w:hAnsi="Arial" w:cs="Arial"/>
          <w:b/>
        </w:rPr>
        <w:t>QUINTA. Responsabilidades.</w:t>
      </w:r>
      <w:r w:rsidRPr="003151FD">
        <w:rPr>
          <w:rFonts w:ascii="Arial" w:hAnsi="Arial" w:cs="Arial"/>
        </w:rPr>
        <w:t xml:space="preserve"> Cabe destacar que este Instituto no advierte que, en el presente caso,</w:t>
      </w:r>
      <w:r w:rsidRPr="00D65A20">
        <w:rPr>
          <w:rFonts w:ascii="Arial" w:hAnsi="Arial" w:cs="Arial"/>
        </w:rPr>
        <w:t xml:space="preserve"> los servidores públicos del sujeto obligado hayan incurrido en posibles infracciones a la Ley de Transparencia, Acceso a la Información Pública y Rendición de Cuentas de la Ciudad de México.</w:t>
      </w:r>
    </w:p>
    <w:p w14:paraId="1B9E14BD" w14:textId="77777777" w:rsidR="0097428C" w:rsidRPr="00D65A20" w:rsidRDefault="0097428C" w:rsidP="0097428C">
      <w:pPr>
        <w:spacing w:line="360" w:lineRule="auto"/>
        <w:outlineLvl w:val="0"/>
        <w:rPr>
          <w:rFonts w:ascii="Arial" w:eastAsia="Calibri" w:hAnsi="Arial" w:cs="Arial"/>
          <w:b/>
        </w:rPr>
      </w:pPr>
    </w:p>
    <w:p w14:paraId="1A8E4B30" w14:textId="77777777" w:rsidR="0097428C" w:rsidRDefault="0097428C" w:rsidP="0097428C">
      <w:pPr>
        <w:autoSpaceDE w:val="0"/>
        <w:autoSpaceDN w:val="0"/>
        <w:adjustRightInd w:val="0"/>
        <w:spacing w:line="360" w:lineRule="auto"/>
        <w:jc w:val="both"/>
        <w:rPr>
          <w:rFonts w:ascii="Arial" w:hAnsi="Arial" w:cs="Arial"/>
        </w:rPr>
      </w:pPr>
      <w:r w:rsidRPr="00D65A20">
        <w:rPr>
          <w:rFonts w:ascii="Arial" w:hAnsi="Arial" w:cs="Arial"/>
        </w:rPr>
        <w:t>Por lo anteriormente expuesto y fundado, el Pleno de este Instituto de Transparencia, Acceso a la Información Pública, Protección de Datos Personales y Rendición de Cuentas de la Ciudad de México</w:t>
      </w:r>
    </w:p>
    <w:p w14:paraId="3FE9BAE0" w14:textId="77777777" w:rsidR="0012041A" w:rsidRDefault="0012041A" w:rsidP="005063A7">
      <w:pPr>
        <w:spacing w:line="360" w:lineRule="auto"/>
        <w:outlineLvl w:val="0"/>
        <w:rPr>
          <w:rFonts w:ascii="Arial" w:eastAsia="Calibri" w:hAnsi="Arial" w:cs="Arial"/>
          <w:b/>
        </w:rPr>
      </w:pPr>
    </w:p>
    <w:p w14:paraId="433F63D3" w14:textId="174EAA58" w:rsidR="0097428C" w:rsidRPr="00D65A20" w:rsidRDefault="0097428C" w:rsidP="0097428C">
      <w:pPr>
        <w:spacing w:line="360" w:lineRule="auto"/>
        <w:jc w:val="center"/>
        <w:outlineLvl w:val="0"/>
        <w:rPr>
          <w:rFonts w:ascii="Arial" w:eastAsia="Calibri" w:hAnsi="Arial" w:cs="Arial"/>
          <w:b/>
        </w:rPr>
      </w:pPr>
      <w:r w:rsidRPr="00F2397E">
        <w:rPr>
          <w:rFonts w:ascii="Arial" w:eastAsia="Calibri" w:hAnsi="Arial" w:cs="Arial"/>
          <w:b/>
        </w:rPr>
        <w:t>R E S U E L V E</w:t>
      </w:r>
    </w:p>
    <w:p w14:paraId="71E5691F" w14:textId="77777777" w:rsidR="0097428C" w:rsidRPr="00D65A20" w:rsidRDefault="0097428C" w:rsidP="0097428C">
      <w:pPr>
        <w:spacing w:line="360" w:lineRule="auto"/>
        <w:jc w:val="both"/>
        <w:outlineLvl w:val="0"/>
        <w:rPr>
          <w:rFonts w:ascii="Arial" w:eastAsia="Calibri" w:hAnsi="Arial" w:cs="Arial"/>
        </w:rPr>
      </w:pPr>
    </w:p>
    <w:p w14:paraId="08FEB171" w14:textId="46F75713" w:rsidR="0097428C" w:rsidRDefault="0097428C" w:rsidP="0097428C">
      <w:pPr>
        <w:spacing w:line="360" w:lineRule="auto"/>
        <w:jc w:val="both"/>
        <w:rPr>
          <w:rFonts w:ascii="Arial" w:eastAsia="Calibri" w:hAnsi="Arial" w:cs="Arial"/>
        </w:rPr>
      </w:pPr>
      <w:r w:rsidRPr="00E41739">
        <w:rPr>
          <w:rFonts w:ascii="Arial" w:hAnsi="Arial" w:cs="Arial"/>
          <w:b/>
          <w:lang w:eastAsia="es-ES"/>
        </w:rPr>
        <w:t xml:space="preserve">PRIMERO. </w:t>
      </w:r>
      <w:r w:rsidRPr="00E41739">
        <w:rPr>
          <w:rFonts w:ascii="Arial" w:eastAsia="Calibri" w:hAnsi="Arial" w:cs="Arial"/>
        </w:rPr>
        <w:t xml:space="preserve">Por las razones señaladas en la consideración cuarta de esta resolución, y con fundamento en el artículo 244, fracción V, de la Ley de Transparencia, Acceso a la Información Pública y Rendición de Cuentas de la Ciudad de México, se </w:t>
      </w:r>
      <w:r w:rsidRPr="00E41739">
        <w:rPr>
          <w:rFonts w:ascii="Arial" w:eastAsia="Calibri" w:hAnsi="Arial" w:cs="Arial"/>
          <w:b/>
        </w:rPr>
        <w:t xml:space="preserve">REVOCA </w:t>
      </w:r>
      <w:r w:rsidRPr="00E41739">
        <w:rPr>
          <w:rFonts w:ascii="Arial" w:eastAsia="Calibri" w:hAnsi="Arial" w:cs="Arial"/>
        </w:rPr>
        <w:t>la respuesta emitida por el sujeto obligado y se le ordena que emita una nueva, en el plazo</w:t>
      </w:r>
      <w:r w:rsidRPr="003A5D78">
        <w:rPr>
          <w:rFonts w:ascii="Arial" w:eastAsia="Calibri" w:hAnsi="Arial" w:cs="Arial"/>
        </w:rPr>
        <w:t xml:space="preserve"> </w:t>
      </w:r>
      <w:r w:rsidRPr="002876E6">
        <w:rPr>
          <w:rFonts w:ascii="Arial" w:eastAsia="Calibri" w:hAnsi="Arial" w:cs="Arial"/>
        </w:rPr>
        <w:t xml:space="preserve">de </w:t>
      </w:r>
      <w:r w:rsidR="002E22C4">
        <w:rPr>
          <w:rFonts w:ascii="Arial" w:eastAsia="Calibri" w:hAnsi="Arial" w:cs="Arial"/>
        </w:rPr>
        <w:t>10</w:t>
      </w:r>
      <w:r w:rsidRPr="00A52190">
        <w:rPr>
          <w:rFonts w:ascii="Arial" w:eastAsia="Calibri" w:hAnsi="Arial" w:cs="Arial"/>
        </w:rPr>
        <w:t xml:space="preserve"> días y conforme</w:t>
      </w:r>
      <w:r w:rsidRPr="00927ECF">
        <w:rPr>
          <w:rFonts w:ascii="Arial" w:eastAsia="Calibri" w:hAnsi="Arial" w:cs="Arial"/>
        </w:rPr>
        <w:t xml:space="preserve"> a los lineamientos establecidos en la consideración inicialmente</w:t>
      </w:r>
      <w:r w:rsidRPr="005D66AF">
        <w:rPr>
          <w:rFonts w:ascii="Arial" w:eastAsia="Calibri" w:hAnsi="Arial" w:cs="Arial"/>
        </w:rPr>
        <w:t xml:space="preserve"> referida.</w:t>
      </w:r>
    </w:p>
    <w:p w14:paraId="2DE9F42C" w14:textId="77777777" w:rsidR="0097428C" w:rsidRPr="00B0211F" w:rsidRDefault="0097428C" w:rsidP="0097428C">
      <w:pPr>
        <w:spacing w:line="360" w:lineRule="auto"/>
        <w:jc w:val="both"/>
        <w:rPr>
          <w:rFonts w:ascii="Arial" w:eastAsia="Calibri" w:hAnsi="Arial" w:cs="Arial"/>
        </w:rPr>
      </w:pPr>
    </w:p>
    <w:p w14:paraId="034917B3" w14:textId="77777777" w:rsidR="0097428C" w:rsidRPr="00D65A20" w:rsidRDefault="0097428C" w:rsidP="0097428C">
      <w:pPr>
        <w:spacing w:line="360" w:lineRule="auto"/>
        <w:jc w:val="both"/>
        <w:outlineLvl w:val="0"/>
        <w:rPr>
          <w:rFonts w:ascii="Arial" w:eastAsia="Calibri" w:hAnsi="Arial" w:cs="Arial"/>
          <w:b/>
        </w:rPr>
      </w:pPr>
      <w:r>
        <w:rPr>
          <w:rFonts w:ascii="Arial" w:eastAsia="Calibri" w:hAnsi="Arial" w:cs="Arial"/>
          <w:b/>
        </w:rPr>
        <w:t>SEGUNDO</w:t>
      </w:r>
      <w:r w:rsidRPr="00D65A20">
        <w:rPr>
          <w:rFonts w:ascii="Arial" w:eastAsia="Calibri" w:hAnsi="Arial" w:cs="Arial"/>
          <w:b/>
        </w:rPr>
        <w:t xml:space="preserve">. </w:t>
      </w:r>
      <w:r w:rsidRPr="00D65A20">
        <w:rPr>
          <w:rFonts w:ascii="Arial" w:eastAsia="Calibri" w:hAnsi="Arial" w:cs="Arial"/>
        </w:rPr>
        <w:t xml:space="preserve">Con fundamento en los artículos 257 y 258, de la Ley de Transparencia, Acceso a la Información Pública y Rendición de Cuentas de la Ciudad de México, se instruye al sujeto obligado para que informe a este Instituto por escrito, sobre el cumplimiento a lo ordenado en el punto Resolutivo Primero, al día siguiente de concluido </w:t>
      </w:r>
      <w:r w:rsidRPr="00D65A20">
        <w:rPr>
          <w:rFonts w:ascii="Arial" w:eastAsia="Calibri" w:hAnsi="Arial" w:cs="Arial"/>
        </w:rPr>
        <w:lastRenderedPageBreak/>
        <w:t>el plazo concedido para dar cumplimiento a la presente resolución, anexando copia de las constancias que lo acrediten. Con el apercibimiento de que, en caso de no hacerlo, se procederá en términos de la fracción III, del artículo 259, de la Ley de la materia.</w:t>
      </w:r>
    </w:p>
    <w:p w14:paraId="261EEE18" w14:textId="77777777" w:rsidR="0097428C" w:rsidRPr="00D65A20" w:rsidRDefault="0097428C" w:rsidP="0097428C">
      <w:pPr>
        <w:spacing w:line="360" w:lineRule="auto"/>
        <w:jc w:val="both"/>
        <w:outlineLvl w:val="0"/>
        <w:rPr>
          <w:rFonts w:ascii="Arial" w:eastAsia="Calibri" w:hAnsi="Arial" w:cs="Arial"/>
          <w:b/>
        </w:rPr>
      </w:pPr>
    </w:p>
    <w:p w14:paraId="0BA0CDD0" w14:textId="77777777" w:rsidR="0097428C" w:rsidRPr="00D65A20" w:rsidRDefault="0097428C" w:rsidP="0097428C">
      <w:pPr>
        <w:spacing w:line="360" w:lineRule="auto"/>
        <w:jc w:val="both"/>
        <w:outlineLvl w:val="0"/>
        <w:rPr>
          <w:rFonts w:ascii="Arial" w:eastAsia="Calibri" w:hAnsi="Arial" w:cs="Arial"/>
        </w:rPr>
      </w:pPr>
      <w:r w:rsidRPr="00D65A20">
        <w:rPr>
          <w:rFonts w:ascii="Arial" w:eastAsia="Calibri" w:hAnsi="Arial" w:cs="Arial"/>
          <w:b/>
        </w:rPr>
        <w:t xml:space="preserve">TERCERO. </w:t>
      </w:r>
      <w:r w:rsidRPr="00D65A20">
        <w:rPr>
          <w:rFonts w:ascii="Arial" w:eastAsia="Calibri" w:hAnsi="Arial" w:cs="Arial"/>
        </w:rPr>
        <w:t>En cumplimiento a lo dispuesto por el artículo 254 de la Ley de Transparencia, Acceso a la Información Pública y Rendición de Cuentas de la Ciudad de México, se informa a la persona recurrente que, en caso de estar inconforme con la presente resolución, podrá impugnarla ante el Instituto Nacional de Transparencia, Acceso a la Información Pública y Protección de Datos Personales o ante el Poder Judicial de la Federación, sin poder agotar simultáneamente ambas vías.</w:t>
      </w:r>
    </w:p>
    <w:p w14:paraId="33046CCB" w14:textId="77777777" w:rsidR="0097428C" w:rsidRPr="00D65A20" w:rsidRDefault="0097428C" w:rsidP="0097428C">
      <w:pPr>
        <w:spacing w:line="360" w:lineRule="auto"/>
        <w:jc w:val="both"/>
        <w:outlineLvl w:val="0"/>
        <w:rPr>
          <w:rFonts w:ascii="Arial" w:eastAsia="Calibri" w:hAnsi="Arial" w:cs="Arial"/>
          <w:b/>
        </w:rPr>
      </w:pPr>
    </w:p>
    <w:p w14:paraId="4BCE857B" w14:textId="77777777" w:rsidR="0097428C" w:rsidRPr="00D65A20" w:rsidRDefault="0097428C" w:rsidP="0097428C">
      <w:pPr>
        <w:spacing w:line="360" w:lineRule="auto"/>
        <w:jc w:val="both"/>
        <w:outlineLvl w:val="0"/>
        <w:rPr>
          <w:rFonts w:ascii="Arial" w:eastAsia="Calibri" w:hAnsi="Arial" w:cs="Arial"/>
          <w:iCs/>
        </w:rPr>
      </w:pPr>
      <w:r>
        <w:rPr>
          <w:rFonts w:ascii="Arial" w:eastAsia="Calibri" w:hAnsi="Arial" w:cs="Arial"/>
          <w:b/>
        </w:rPr>
        <w:t>CUARTO</w:t>
      </w:r>
      <w:r w:rsidRPr="00D65A20">
        <w:rPr>
          <w:rFonts w:ascii="Arial" w:eastAsia="Calibri" w:hAnsi="Arial" w:cs="Arial"/>
          <w:b/>
        </w:rPr>
        <w:t xml:space="preserve">. </w:t>
      </w:r>
      <w:r w:rsidRPr="00D65A20">
        <w:rPr>
          <w:rFonts w:ascii="Arial" w:eastAsia="Calibri" w:hAnsi="Arial" w:cs="Arial"/>
          <w:iCs/>
        </w:rPr>
        <w:t>Se pone a disposición de la persona recurrente el teléfono 55 56 36 21 20 y el correo electrónico</w:t>
      </w:r>
      <w:r>
        <w:rPr>
          <w:rFonts w:ascii="Arial" w:eastAsia="Calibri" w:hAnsi="Arial" w:cs="Arial"/>
          <w:iCs/>
        </w:rPr>
        <w:t xml:space="preserve"> </w:t>
      </w:r>
      <w:r w:rsidRPr="00D65A20">
        <w:rPr>
          <w:rFonts w:ascii="Arial" w:eastAsia="Calibri" w:hAnsi="Arial" w:cs="Arial"/>
          <w:iCs/>
        </w:rPr>
        <w:t>ponencia.nava@infocdmx.org.mx para que comunique a este Instituto cualquier irregularidad en el cumplimiento de la presente resolución.</w:t>
      </w:r>
    </w:p>
    <w:p w14:paraId="4CE3A270" w14:textId="77777777" w:rsidR="0097428C" w:rsidRPr="00D65A20" w:rsidRDefault="0097428C" w:rsidP="0097428C">
      <w:pPr>
        <w:spacing w:line="360" w:lineRule="auto"/>
        <w:jc w:val="both"/>
        <w:outlineLvl w:val="0"/>
        <w:rPr>
          <w:rFonts w:ascii="Arial" w:eastAsia="Calibri" w:hAnsi="Arial" w:cs="Arial"/>
          <w:iCs/>
        </w:rPr>
      </w:pPr>
    </w:p>
    <w:p w14:paraId="53DB8BF6" w14:textId="77777777" w:rsidR="0097428C" w:rsidRPr="00D65A20" w:rsidRDefault="0097428C" w:rsidP="0097428C">
      <w:pPr>
        <w:spacing w:line="360" w:lineRule="auto"/>
        <w:jc w:val="both"/>
        <w:outlineLvl w:val="0"/>
        <w:rPr>
          <w:rFonts w:ascii="Arial" w:eastAsia="Calibri" w:hAnsi="Arial" w:cs="Arial"/>
          <w:iCs/>
        </w:rPr>
      </w:pPr>
      <w:r>
        <w:rPr>
          <w:rFonts w:ascii="Arial" w:eastAsia="Calibri" w:hAnsi="Arial" w:cs="Arial"/>
          <w:b/>
          <w:iCs/>
        </w:rPr>
        <w:t>QUINTO</w:t>
      </w:r>
      <w:r w:rsidRPr="00D65A20">
        <w:rPr>
          <w:rFonts w:ascii="Arial" w:eastAsia="Calibri" w:hAnsi="Arial" w:cs="Arial"/>
          <w:b/>
          <w:iCs/>
        </w:rPr>
        <w:t>.</w:t>
      </w:r>
      <w:r w:rsidRPr="00D65A20">
        <w:rPr>
          <w:rFonts w:ascii="Arial" w:eastAsia="Calibri" w:hAnsi="Arial" w:cs="Arial"/>
          <w:iCs/>
        </w:rPr>
        <w:t xml:space="preserve"> Este Instituto dará seguimiento a la presente resolución llevando a cabo las actuaciones necesarias para asegurar su cumplimiento y, en su momento, informará a la Secretaría Técnica.</w:t>
      </w:r>
    </w:p>
    <w:p w14:paraId="28953E13" w14:textId="77777777" w:rsidR="0097428C" w:rsidRPr="00D65A20" w:rsidRDefault="0097428C" w:rsidP="0097428C">
      <w:pPr>
        <w:spacing w:line="360" w:lineRule="auto"/>
        <w:jc w:val="both"/>
        <w:outlineLvl w:val="0"/>
        <w:rPr>
          <w:rFonts w:ascii="Arial" w:eastAsia="Calibri" w:hAnsi="Arial" w:cs="Arial"/>
          <w:iCs/>
        </w:rPr>
      </w:pPr>
    </w:p>
    <w:p w14:paraId="007B335A" w14:textId="77777777" w:rsidR="0097428C" w:rsidRPr="00F22C38" w:rsidRDefault="0097428C" w:rsidP="0097428C">
      <w:pPr>
        <w:spacing w:line="360" w:lineRule="auto"/>
        <w:jc w:val="both"/>
        <w:outlineLvl w:val="0"/>
        <w:rPr>
          <w:rFonts w:ascii="Arial" w:eastAsia="Calibri" w:hAnsi="Arial" w:cs="Arial"/>
          <w:iCs/>
        </w:rPr>
      </w:pPr>
      <w:r>
        <w:rPr>
          <w:rFonts w:ascii="Arial" w:eastAsia="Calibri" w:hAnsi="Arial" w:cs="Arial"/>
          <w:b/>
          <w:iCs/>
        </w:rPr>
        <w:t>SEXTO</w:t>
      </w:r>
      <w:r w:rsidRPr="00D65A20">
        <w:rPr>
          <w:rFonts w:ascii="Arial" w:eastAsia="Calibri" w:hAnsi="Arial" w:cs="Arial"/>
          <w:b/>
          <w:iCs/>
        </w:rPr>
        <w:t>.</w:t>
      </w:r>
      <w:r w:rsidRPr="00D65A20">
        <w:rPr>
          <w:rFonts w:ascii="Arial" w:eastAsia="Calibri" w:hAnsi="Arial" w:cs="Arial"/>
          <w:iCs/>
        </w:rPr>
        <w:t xml:space="preserve"> Notifíquese la presente resolución a la persona recurrente en el medio señalado para tal efecto y al sujeto obligado</w:t>
      </w:r>
      <w:r>
        <w:rPr>
          <w:rFonts w:ascii="Arial" w:eastAsia="Calibri" w:hAnsi="Arial" w:cs="Arial"/>
          <w:iCs/>
        </w:rPr>
        <w:t xml:space="preserve"> en términos de Ley</w:t>
      </w:r>
      <w:r w:rsidRPr="00D65A20">
        <w:rPr>
          <w:rFonts w:ascii="Arial" w:eastAsia="Calibri" w:hAnsi="Arial" w:cs="Arial"/>
          <w:iCs/>
        </w:rPr>
        <w:t>.</w:t>
      </w:r>
      <w:r>
        <w:rPr>
          <w:rFonts w:ascii="Arial" w:eastAsia="Calibri" w:hAnsi="Arial" w:cs="Arial"/>
          <w:lang w:val="es-ES_tradnl" w:eastAsia="es-ES"/>
        </w:rPr>
        <w:br w:type="page"/>
      </w:r>
    </w:p>
    <w:p w14:paraId="4420B128" w14:textId="77777777" w:rsidR="0097428C" w:rsidRPr="00C31024" w:rsidRDefault="0097428C" w:rsidP="0097428C">
      <w:pPr>
        <w:widowControl w:val="0"/>
        <w:autoSpaceDE w:val="0"/>
        <w:autoSpaceDN w:val="0"/>
        <w:adjustRightInd w:val="0"/>
        <w:spacing w:line="360" w:lineRule="auto"/>
        <w:ind w:right="49"/>
        <w:jc w:val="both"/>
        <w:rPr>
          <w:rFonts w:ascii="Arial" w:eastAsia="Calibri" w:hAnsi="Arial" w:cs="Arial"/>
          <w:bCs/>
        </w:rPr>
      </w:pPr>
      <w:r w:rsidRPr="00C31024">
        <w:rPr>
          <w:rFonts w:ascii="Arial" w:eastAsia="Calibri" w:hAnsi="Arial" w:cs="Arial"/>
          <w:lang w:val="es-ES_tradnl"/>
        </w:rPr>
        <w:lastRenderedPageBreak/>
        <w:t xml:space="preserve">Así lo resolvieron, las y los Comisionados Ciudadanos del Instituto de Transparencia, Acceso a la Información Pública, Protección de Datos Personales y Rendición de Cuentas de la Ciudad de México: </w:t>
      </w:r>
      <w:r w:rsidRPr="00C31024">
        <w:rPr>
          <w:rFonts w:ascii="Arial" w:eastAsia="Calibri" w:hAnsi="Arial" w:cs="Arial"/>
        </w:rPr>
        <w:t>Arístides Rodrigo Guerrero García</w:t>
      </w:r>
      <w:r>
        <w:rPr>
          <w:rFonts w:ascii="Arial" w:eastAsia="Calibri" w:hAnsi="Arial" w:cs="Arial"/>
        </w:rPr>
        <w:t>,</w:t>
      </w:r>
      <w:r w:rsidRPr="00C31024">
        <w:rPr>
          <w:rFonts w:ascii="Arial" w:eastAsia="Calibri" w:hAnsi="Arial" w:cs="Arial"/>
        </w:rPr>
        <w:t xml:space="preserve"> Julio César Bonilla Gutiérrez, Laura Lizette Enríquez Rodríguez,</w:t>
      </w:r>
      <w:r>
        <w:rPr>
          <w:rFonts w:ascii="Arial" w:eastAsia="Calibri" w:hAnsi="Arial" w:cs="Arial"/>
        </w:rPr>
        <w:t xml:space="preserve"> </w:t>
      </w:r>
      <w:r w:rsidRPr="00C31024">
        <w:rPr>
          <w:rFonts w:ascii="Arial" w:eastAsia="Calibri" w:hAnsi="Arial" w:cs="Arial"/>
        </w:rPr>
        <w:t xml:space="preserve">María del Carmen Nava Polina y Marina Alicia San Martín Rebolloso ante Hugo Erik Zertuche Guerrero, Secretario Técnico, de conformidad con lo dispuesto en el artículo 15, fracción IX del Reglamento Interior de este Instituto, </w:t>
      </w:r>
      <w:r w:rsidRPr="00C31024">
        <w:rPr>
          <w:rFonts w:ascii="Arial" w:eastAsia="Calibri" w:hAnsi="Arial" w:cs="Arial"/>
          <w:bCs/>
        </w:rPr>
        <w:t xml:space="preserve">en </w:t>
      </w:r>
      <w:r w:rsidRPr="00C31024">
        <w:rPr>
          <w:rFonts w:ascii="Arial" w:eastAsia="Calibri" w:hAnsi="Arial" w:cs="Arial"/>
          <w:b/>
        </w:rPr>
        <w:t xml:space="preserve">Sesión Ordinaria celebrada el </w:t>
      </w:r>
      <w:r>
        <w:rPr>
          <w:rFonts w:ascii="Arial" w:eastAsia="Calibri" w:hAnsi="Arial" w:cs="Arial"/>
          <w:b/>
        </w:rPr>
        <w:t>12</w:t>
      </w:r>
      <w:r w:rsidRPr="00C31024">
        <w:rPr>
          <w:rFonts w:ascii="Arial" w:eastAsia="Calibri" w:hAnsi="Arial" w:cs="Arial"/>
          <w:b/>
        </w:rPr>
        <w:t xml:space="preserve"> de </w:t>
      </w:r>
      <w:r>
        <w:rPr>
          <w:rFonts w:ascii="Arial" w:eastAsia="Calibri" w:hAnsi="Arial" w:cs="Arial"/>
          <w:b/>
        </w:rPr>
        <w:t>enero</w:t>
      </w:r>
      <w:r w:rsidRPr="00C31024">
        <w:rPr>
          <w:rFonts w:ascii="Arial" w:eastAsia="Calibri" w:hAnsi="Arial" w:cs="Arial"/>
          <w:b/>
        </w:rPr>
        <w:t xml:space="preserve"> de 202</w:t>
      </w:r>
      <w:r>
        <w:rPr>
          <w:rFonts w:ascii="Arial" w:eastAsia="Calibri" w:hAnsi="Arial" w:cs="Arial"/>
          <w:b/>
        </w:rPr>
        <w:t>2</w:t>
      </w:r>
      <w:r w:rsidRPr="00C31024">
        <w:rPr>
          <w:rFonts w:ascii="Arial" w:eastAsia="Calibri" w:hAnsi="Arial" w:cs="Arial"/>
          <w:bCs/>
        </w:rPr>
        <w:t>, quienes firman para todos los efectos legales a que haya lugar.</w:t>
      </w:r>
    </w:p>
    <w:p w14:paraId="353924EC" w14:textId="77777777" w:rsidR="0097428C" w:rsidRDefault="0097428C" w:rsidP="0097428C">
      <w:pPr>
        <w:widowControl w:val="0"/>
        <w:autoSpaceDE w:val="0"/>
        <w:autoSpaceDN w:val="0"/>
        <w:adjustRightInd w:val="0"/>
        <w:spacing w:line="360" w:lineRule="auto"/>
        <w:ind w:right="49"/>
        <w:jc w:val="both"/>
        <w:rPr>
          <w:rFonts w:ascii="Arial" w:eastAsia="Calibri" w:hAnsi="Arial" w:cs="Arial"/>
          <w:b/>
          <w:sz w:val="18"/>
          <w:szCs w:val="18"/>
        </w:rPr>
      </w:pPr>
      <w:r>
        <w:rPr>
          <w:rFonts w:ascii="Arial" w:eastAsia="Calibri" w:hAnsi="Arial" w:cs="Arial"/>
          <w:b/>
          <w:sz w:val="18"/>
          <w:szCs w:val="18"/>
        </w:rPr>
        <w:t>SZOH/DTA/CGCM</w:t>
      </w:r>
    </w:p>
    <w:p w14:paraId="6C4A3FF5" w14:textId="77777777" w:rsidR="0097428C" w:rsidRDefault="0097428C" w:rsidP="0097428C">
      <w:pPr>
        <w:widowControl w:val="0"/>
        <w:autoSpaceDE w:val="0"/>
        <w:autoSpaceDN w:val="0"/>
        <w:adjustRightInd w:val="0"/>
        <w:spacing w:line="360" w:lineRule="auto"/>
        <w:jc w:val="both"/>
        <w:rPr>
          <w:rFonts w:ascii="Arial" w:eastAsia="Calibri" w:hAnsi="Arial" w:cs="Arial"/>
          <w:b/>
          <w:sz w:val="18"/>
          <w:szCs w:val="18"/>
        </w:rPr>
      </w:pPr>
    </w:p>
    <w:tbl>
      <w:tblPr>
        <w:tblW w:w="10207" w:type="dxa"/>
        <w:tblInd w:w="-318" w:type="dxa"/>
        <w:tblLook w:val="04A0" w:firstRow="1" w:lastRow="0" w:firstColumn="1" w:lastColumn="0" w:noHBand="0" w:noVBand="1"/>
      </w:tblPr>
      <w:tblGrid>
        <w:gridCol w:w="5091"/>
        <w:gridCol w:w="5116"/>
      </w:tblGrid>
      <w:tr w:rsidR="0097428C" w:rsidRPr="00E34E0D" w14:paraId="0837A93C" w14:textId="77777777" w:rsidTr="00632FD5">
        <w:tc>
          <w:tcPr>
            <w:tcW w:w="10207" w:type="dxa"/>
            <w:gridSpan w:val="2"/>
            <w:shd w:val="clear" w:color="auto" w:fill="auto"/>
          </w:tcPr>
          <w:p w14:paraId="77848C1E" w14:textId="77777777" w:rsidR="0097428C" w:rsidRPr="00E34E0D" w:rsidRDefault="0097428C" w:rsidP="00632FD5">
            <w:pPr>
              <w:rPr>
                <w:rFonts w:ascii="Arial" w:eastAsiaTheme="minorHAnsi" w:hAnsi="Arial" w:cs="Arial"/>
                <w:b/>
                <w:sz w:val="20"/>
                <w:szCs w:val="20"/>
                <w:lang w:eastAsia="en-US"/>
              </w:rPr>
            </w:pPr>
          </w:p>
          <w:p w14:paraId="33004D51" w14:textId="77777777" w:rsidR="0097428C" w:rsidRPr="00E34E0D" w:rsidRDefault="0097428C" w:rsidP="00632FD5">
            <w:pPr>
              <w:rPr>
                <w:rFonts w:ascii="Arial" w:eastAsiaTheme="minorHAnsi" w:hAnsi="Arial" w:cs="Arial"/>
                <w:b/>
                <w:sz w:val="20"/>
                <w:szCs w:val="20"/>
                <w:lang w:eastAsia="en-US"/>
              </w:rPr>
            </w:pPr>
          </w:p>
          <w:p w14:paraId="2DA2DDFD" w14:textId="77777777" w:rsidR="0097428C" w:rsidRPr="00E34E0D" w:rsidRDefault="0097428C" w:rsidP="00632FD5">
            <w:pPr>
              <w:ind w:right="-151"/>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ARÍSTIDES RODRIGO GUERRERO GARCÍA</w:t>
            </w:r>
          </w:p>
          <w:p w14:paraId="5C2B0A46" w14:textId="77777777" w:rsidR="0097428C" w:rsidRPr="00E34E0D" w:rsidRDefault="0097428C" w:rsidP="00632FD5">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 xml:space="preserve">COMISIONADO CIUDADANO </w:t>
            </w:r>
          </w:p>
          <w:p w14:paraId="7A3617B0" w14:textId="77777777" w:rsidR="0097428C" w:rsidRPr="00E34E0D" w:rsidRDefault="0097428C" w:rsidP="00632FD5">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PRESIDENTE</w:t>
            </w:r>
          </w:p>
        </w:tc>
      </w:tr>
      <w:tr w:rsidR="0097428C" w:rsidRPr="00E34E0D" w14:paraId="3FB7954A" w14:textId="77777777" w:rsidTr="00632FD5">
        <w:tc>
          <w:tcPr>
            <w:tcW w:w="5091" w:type="dxa"/>
            <w:shd w:val="clear" w:color="auto" w:fill="auto"/>
          </w:tcPr>
          <w:p w14:paraId="5A6424A8" w14:textId="77777777" w:rsidR="0097428C" w:rsidRPr="00E34E0D" w:rsidRDefault="0097428C" w:rsidP="00632FD5">
            <w:pPr>
              <w:jc w:val="center"/>
              <w:rPr>
                <w:rFonts w:ascii="Arial" w:eastAsiaTheme="minorHAnsi" w:hAnsi="Arial" w:cs="Arial"/>
                <w:b/>
                <w:sz w:val="20"/>
                <w:szCs w:val="20"/>
                <w:lang w:eastAsia="en-US"/>
              </w:rPr>
            </w:pPr>
          </w:p>
          <w:p w14:paraId="4EDF3445" w14:textId="77777777" w:rsidR="0097428C" w:rsidRPr="00E34E0D" w:rsidRDefault="0097428C" w:rsidP="00632FD5">
            <w:pPr>
              <w:jc w:val="center"/>
              <w:rPr>
                <w:rFonts w:ascii="Arial" w:eastAsiaTheme="minorHAnsi" w:hAnsi="Arial" w:cs="Arial"/>
                <w:b/>
                <w:sz w:val="20"/>
                <w:szCs w:val="20"/>
                <w:lang w:eastAsia="en-US"/>
              </w:rPr>
            </w:pPr>
          </w:p>
          <w:p w14:paraId="63E522D7" w14:textId="77777777" w:rsidR="0097428C" w:rsidRPr="00E34E0D" w:rsidRDefault="0097428C" w:rsidP="00632FD5">
            <w:pPr>
              <w:jc w:val="center"/>
              <w:rPr>
                <w:rFonts w:ascii="Arial" w:eastAsiaTheme="minorHAnsi" w:hAnsi="Arial" w:cs="Arial"/>
                <w:b/>
                <w:sz w:val="20"/>
                <w:szCs w:val="20"/>
                <w:lang w:eastAsia="en-US"/>
              </w:rPr>
            </w:pPr>
          </w:p>
          <w:p w14:paraId="687681E5" w14:textId="77777777" w:rsidR="0097428C" w:rsidRPr="00E34E0D" w:rsidRDefault="0097428C" w:rsidP="00632FD5">
            <w:pPr>
              <w:jc w:val="center"/>
              <w:rPr>
                <w:rFonts w:ascii="Arial" w:eastAsiaTheme="minorHAnsi" w:hAnsi="Arial" w:cs="Arial"/>
                <w:b/>
                <w:sz w:val="20"/>
                <w:szCs w:val="20"/>
                <w:lang w:eastAsia="en-US"/>
              </w:rPr>
            </w:pPr>
          </w:p>
          <w:p w14:paraId="25622EB2" w14:textId="77777777" w:rsidR="0097428C" w:rsidRPr="00E34E0D" w:rsidRDefault="0097428C" w:rsidP="00632FD5">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JULIO CÉSAR BONILLA GUTIÉRREZ</w:t>
            </w:r>
          </w:p>
          <w:p w14:paraId="42A629D9" w14:textId="77777777" w:rsidR="0097428C" w:rsidRPr="00E34E0D" w:rsidRDefault="0097428C" w:rsidP="00632FD5">
            <w:pPr>
              <w:autoSpaceDE w:val="0"/>
              <w:autoSpaceDN w:val="0"/>
              <w:adjustRightInd w:val="0"/>
              <w:spacing w:line="360" w:lineRule="auto"/>
              <w:jc w:val="center"/>
              <w:rPr>
                <w:rFonts w:ascii="Arial" w:eastAsiaTheme="minorHAnsi" w:hAnsi="Arial" w:cs="Arial"/>
                <w:bCs/>
                <w:sz w:val="20"/>
                <w:szCs w:val="20"/>
                <w:lang w:eastAsia="en-US"/>
              </w:rPr>
            </w:pPr>
            <w:r w:rsidRPr="00E34E0D">
              <w:rPr>
                <w:rFonts w:ascii="Arial" w:eastAsiaTheme="minorHAnsi" w:hAnsi="Arial" w:cs="Arial"/>
                <w:b/>
                <w:sz w:val="20"/>
                <w:szCs w:val="20"/>
                <w:lang w:eastAsia="en-US"/>
              </w:rPr>
              <w:t>COMISIONADO CIUDADANO</w:t>
            </w:r>
            <w:r w:rsidRPr="00E34E0D">
              <w:rPr>
                <w:rFonts w:ascii="Arial" w:eastAsiaTheme="minorHAnsi" w:hAnsi="Arial" w:cs="Arial"/>
                <w:bCs/>
                <w:sz w:val="20"/>
                <w:szCs w:val="20"/>
                <w:lang w:eastAsia="en-US"/>
              </w:rPr>
              <w:t xml:space="preserve"> </w:t>
            </w:r>
          </w:p>
        </w:tc>
        <w:tc>
          <w:tcPr>
            <w:tcW w:w="5116" w:type="dxa"/>
            <w:shd w:val="clear" w:color="auto" w:fill="auto"/>
          </w:tcPr>
          <w:p w14:paraId="7BA032BC" w14:textId="77777777" w:rsidR="0097428C" w:rsidRPr="00E34E0D" w:rsidRDefault="0097428C" w:rsidP="00632FD5">
            <w:pPr>
              <w:jc w:val="center"/>
              <w:rPr>
                <w:rFonts w:ascii="Arial" w:eastAsiaTheme="minorHAnsi" w:hAnsi="Arial" w:cs="Arial"/>
                <w:b/>
                <w:sz w:val="20"/>
                <w:szCs w:val="20"/>
                <w:lang w:eastAsia="en-US"/>
              </w:rPr>
            </w:pPr>
          </w:p>
          <w:p w14:paraId="4BC74C62" w14:textId="77777777" w:rsidR="0097428C" w:rsidRPr="00E34E0D" w:rsidRDefault="0097428C" w:rsidP="00632FD5">
            <w:pPr>
              <w:jc w:val="center"/>
              <w:rPr>
                <w:rFonts w:ascii="Arial" w:eastAsiaTheme="minorHAnsi" w:hAnsi="Arial" w:cs="Arial"/>
                <w:b/>
                <w:sz w:val="20"/>
                <w:szCs w:val="20"/>
                <w:lang w:eastAsia="en-US"/>
              </w:rPr>
            </w:pPr>
          </w:p>
          <w:p w14:paraId="37CA2FA2" w14:textId="77777777" w:rsidR="0097428C" w:rsidRPr="00E34E0D" w:rsidRDefault="0097428C" w:rsidP="00632FD5">
            <w:pPr>
              <w:ind w:right="566"/>
              <w:jc w:val="center"/>
              <w:rPr>
                <w:rFonts w:ascii="Arial" w:eastAsiaTheme="minorHAnsi" w:hAnsi="Arial" w:cs="Arial"/>
                <w:b/>
                <w:sz w:val="20"/>
                <w:szCs w:val="20"/>
                <w:lang w:eastAsia="en-US"/>
              </w:rPr>
            </w:pPr>
          </w:p>
          <w:p w14:paraId="62922022" w14:textId="77777777" w:rsidR="0097428C" w:rsidRPr="00E34E0D" w:rsidRDefault="0097428C" w:rsidP="00632FD5">
            <w:pPr>
              <w:jc w:val="center"/>
              <w:rPr>
                <w:rFonts w:ascii="Arial" w:eastAsiaTheme="minorHAnsi" w:hAnsi="Arial" w:cs="Arial"/>
                <w:b/>
                <w:sz w:val="20"/>
                <w:szCs w:val="20"/>
                <w:lang w:eastAsia="en-US"/>
              </w:rPr>
            </w:pPr>
          </w:p>
          <w:p w14:paraId="1AE7A0BB" w14:textId="77777777" w:rsidR="0097428C" w:rsidRPr="00E34E0D" w:rsidRDefault="0097428C" w:rsidP="00632FD5">
            <w:pPr>
              <w:ind w:right="-151"/>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LAURA LIZETTE ENRÍQUEZ RODRÍGUEZ</w:t>
            </w:r>
          </w:p>
          <w:p w14:paraId="430DDA62" w14:textId="77777777" w:rsidR="0097428C" w:rsidRPr="00E34E0D" w:rsidRDefault="0097428C" w:rsidP="00632FD5">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COMISIONADA CIUDADANA</w:t>
            </w:r>
          </w:p>
          <w:p w14:paraId="057FC124" w14:textId="77777777" w:rsidR="0097428C" w:rsidRPr="00E34E0D" w:rsidRDefault="0097428C" w:rsidP="00632FD5">
            <w:pPr>
              <w:autoSpaceDE w:val="0"/>
              <w:autoSpaceDN w:val="0"/>
              <w:adjustRightInd w:val="0"/>
              <w:jc w:val="center"/>
              <w:rPr>
                <w:rFonts w:ascii="Arial" w:eastAsiaTheme="minorHAnsi" w:hAnsi="Arial" w:cs="Arial"/>
                <w:b/>
                <w:sz w:val="20"/>
                <w:szCs w:val="20"/>
                <w:lang w:eastAsia="en-US"/>
              </w:rPr>
            </w:pPr>
          </w:p>
          <w:p w14:paraId="112125E6" w14:textId="77777777" w:rsidR="0097428C" w:rsidRPr="00E34E0D" w:rsidRDefault="0097428C" w:rsidP="00632FD5">
            <w:pPr>
              <w:autoSpaceDE w:val="0"/>
              <w:autoSpaceDN w:val="0"/>
              <w:adjustRightInd w:val="0"/>
              <w:jc w:val="center"/>
              <w:rPr>
                <w:rFonts w:ascii="Arial" w:eastAsiaTheme="minorHAnsi" w:hAnsi="Arial" w:cs="Arial"/>
                <w:bCs/>
                <w:sz w:val="20"/>
                <w:szCs w:val="20"/>
                <w:lang w:eastAsia="en-US"/>
              </w:rPr>
            </w:pPr>
          </w:p>
        </w:tc>
      </w:tr>
      <w:tr w:rsidR="0097428C" w:rsidRPr="00E34E0D" w14:paraId="7F5D7D21" w14:textId="77777777" w:rsidTr="00632FD5">
        <w:tc>
          <w:tcPr>
            <w:tcW w:w="5091" w:type="dxa"/>
            <w:shd w:val="clear" w:color="auto" w:fill="auto"/>
          </w:tcPr>
          <w:p w14:paraId="00E6FC39" w14:textId="77777777" w:rsidR="0097428C" w:rsidRPr="00E34E0D" w:rsidRDefault="0097428C" w:rsidP="00632FD5">
            <w:pPr>
              <w:jc w:val="center"/>
              <w:rPr>
                <w:rFonts w:ascii="Arial" w:eastAsiaTheme="minorHAnsi" w:hAnsi="Arial" w:cs="Arial"/>
                <w:b/>
                <w:sz w:val="20"/>
                <w:szCs w:val="20"/>
                <w:lang w:eastAsia="en-US"/>
              </w:rPr>
            </w:pPr>
          </w:p>
          <w:p w14:paraId="3866BCFF" w14:textId="77777777" w:rsidR="0097428C" w:rsidRPr="00E34E0D" w:rsidRDefault="0097428C" w:rsidP="00632FD5">
            <w:pPr>
              <w:jc w:val="center"/>
              <w:rPr>
                <w:rFonts w:ascii="Arial" w:eastAsiaTheme="minorHAnsi" w:hAnsi="Arial" w:cs="Arial"/>
                <w:b/>
                <w:sz w:val="20"/>
                <w:szCs w:val="20"/>
                <w:lang w:eastAsia="en-US"/>
              </w:rPr>
            </w:pPr>
          </w:p>
          <w:p w14:paraId="586D5582" w14:textId="77777777" w:rsidR="0097428C" w:rsidRPr="00E34E0D" w:rsidRDefault="0097428C" w:rsidP="00632FD5">
            <w:pPr>
              <w:jc w:val="center"/>
              <w:rPr>
                <w:rFonts w:ascii="Arial" w:eastAsiaTheme="minorHAnsi" w:hAnsi="Arial" w:cs="Arial"/>
                <w:b/>
                <w:sz w:val="20"/>
                <w:szCs w:val="20"/>
                <w:lang w:eastAsia="en-US"/>
              </w:rPr>
            </w:pPr>
          </w:p>
          <w:p w14:paraId="75763D7B" w14:textId="77777777" w:rsidR="0097428C" w:rsidRPr="00E34E0D" w:rsidRDefault="0097428C" w:rsidP="00632FD5">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MARÍA DEL CARMEN NAVA POLINA</w:t>
            </w:r>
          </w:p>
          <w:p w14:paraId="54218F0B" w14:textId="77777777" w:rsidR="0097428C" w:rsidRPr="00E34E0D" w:rsidRDefault="0097428C" w:rsidP="00632FD5">
            <w:pPr>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COMISIONADA CIUDADANA</w:t>
            </w:r>
          </w:p>
          <w:p w14:paraId="26798079" w14:textId="77777777" w:rsidR="0097428C" w:rsidRPr="00E34E0D" w:rsidRDefault="0097428C" w:rsidP="00632FD5">
            <w:pPr>
              <w:rPr>
                <w:rFonts w:ascii="Arial" w:eastAsiaTheme="minorHAnsi" w:hAnsi="Arial" w:cs="Arial"/>
                <w:bCs/>
                <w:sz w:val="20"/>
                <w:szCs w:val="20"/>
                <w:lang w:eastAsia="en-US"/>
              </w:rPr>
            </w:pPr>
          </w:p>
        </w:tc>
        <w:tc>
          <w:tcPr>
            <w:tcW w:w="5116" w:type="dxa"/>
            <w:shd w:val="clear" w:color="auto" w:fill="auto"/>
          </w:tcPr>
          <w:p w14:paraId="1E4275E1" w14:textId="77777777" w:rsidR="0097428C" w:rsidRPr="00E34E0D" w:rsidRDefault="0097428C" w:rsidP="00632FD5">
            <w:pPr>
              <w:jc w:val="center"/>
              <w:rPr>
                <w:rFonts w:ascii="Arial" w:eastAsiaTheme="minorHAnsi" w:hAnsi="Arial" w:cs="Arial"/>
                <w:b/>
                <w:sz w:val="20"/>
                <w:szCs w:val="20"/>
                <w:lang w:eastAsia="en-US"/>
              </w:rPr>
            </w:pPr>
          </w:p>
          <w:p w14:paraId="76B0FCFF" w14:textId="77777777" w:rsidR="0097428C" w:rsidRPr="00E34E0D" w:rsidRDefault="0097428C" w:rsidP="00632FD5">
            <w:pPr>
              <w:jc w:val="center"/>
              <w:rPr>
                <w:rFonts w:ascii="Arial" w:eastAsiaTheme="minorHAnsi" w:hAnsi="Arial" w:cs="Arial"/>
                <w:b/>
                <w:sz w:val="20"/>
                <w:szCs w:val="20"/>
                <w:lang w:eastAsia="en-US"/>
              </w:rPr>
            </w:pPr>
          </w:p>
          <w:p w14:paraId="7EE6AEAE" w14:textId="77777777" w:rsidR="0097428C" w:rsidRPr="00E34E0D" w:rsidRDefault="0097428C" w:rsidP="00632FD5">
            <w:pPr>
              <w:jc w:val="center"/>
              <w:rPr>
                <w:rFonts w:ascii="Arial" w:eastAsiaTheme="minorHAnsi" w:hAnsi="Arial" w:cs="Arial"/>
                <w:b/>
                <w:sz w:val="20"/>
                <w:szCs w:val="20"/>
                <w:lang w:eastAsia="en-US"/>
              </w:rPr>
            </w:pPr>
          </w:p>
          <w:p w14:paraId="72C846B7" w14:textId="77777777" w:rsidR="0097428C" w:rsidRPr="00E34E0D" w:rsidRDefault="0097428C" w:rsidP="00632FD5">
            <w:pPr>
              <w:ind w:right="-143"/>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MARINA ALICIA SAN MARTÍN REBOLLOSO</w:t>
            </w:r>
          </w:p>
          <w:p w14:paraId="084DBDEA" w14:textId="77777777" w:rsidR="0097428C" w:rsidRPr="00E34E0D" w:rsidRDefault="0097428C" w:rsidP="00632FD5">
            <w:pPr>
              <w:autoSpaceDE w:val="0"/>
              <w:autoSpaceDN w:val="0"/>
              <w:adjustRightInd w:val="0"/>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COMISIONADA CIUDADANA</w:t>
            </w:r>
          </w:p>
          <w:p w14:paraId="297B6EFC" w14:textId="77777777" w:rsidR="0097428C" w:rsidRPr="00E34E0D" w:rsidRDefault="0097428C" w:rsidP="00632FD5">
            <w:pPr>
              <w:autoSpaceDE w:val="0"/>
              <w:autoSpaceDN w:val="0"/>
              <w:adjustRightInd w:val="0"/>
              <w:spacing w:line="360" w:lineRule="auto"/>
              <w:rPr>
                <w:rFonts w:ascii="Arial" w:eastAsiaTheme="minorHAnsi" w:hAnsi="Arial" w:cs="Arial"/>
                <w:bCs/>
                <w:sz w:val="20"/>
                <w:szCs w:val="20"/>
                <w:lang w:eastAsia="en-US"/>
              </w:rPr>
            </w:pPr>
          </w:p>
        </w:tc>
      </w:tr>
    </w:tbl>
    <w:p w14:paraId="4096550C" w14:textId="77777777" w:rsidR="0097428C" w:rsidRPr="00E34E0D" w:rsidRDefault="0097428C" w:rsidP="0097428C">
      <w:pPr>
        <w:spacing w:line="360" w:lineRule="auto"/>
        <w:rPr>
          <w:rFonts w:ascii="Arial" w:eastAsiaTheme="minorHAnsi" w:hAnsi="Arial" w:cs="Arial"/>
          <w:sz w:val="20"/>
          <w:szCs w:val="20"/>
          <w:lang w:eastAsia="en-US"/>
        </w:rPr>
      </w:pPr>
    </w:p>
    <w:p w14:paraId="62498327" w14:textId="77777777" w:rsidR="0097428C" w:rsidRPr="00E34E0D" w:rsidRDefault="0097428C" w:rsidP="0097428C">
      <w:pPr>
        <w:ind w:right="48"/>
        <w:jc w:val="center"/>
        <w:rPr>
          <w:rFonts w:ascii="Arial" w:eastAsiaTheme="minorHAnsi" w:hAnsi="Arial" w:cs="Arial"/>
          <w:b/>
          <w:sz w:val="20"/>
          <w:szCs w:val="20"/>
          <w:lang w:eastAsia="en-US"/>
        </w:rPr>
      </w:pPr>
    </w:p>
    <w:p w14:paraId="3939482F" w14:textId="77777777" w:rsidR="0097428C" w:rsidRPr="00E34E0D" w:rsidRDefault="0097428C" w:rsidP="0097428C">
      <w:pPr>
        <w:ind w:right="48"/>
        <w:jc w:val="center"/>
        <w:rPr>
          <w:rFonts w:ascii="Arial" w:eastAsiaTheme="minorHAnsi" w:hAnsi="Arial" w:cs="Arial"/>
          <w:b/>
          <w:sz w:val="20"/>
          <w:szCs w:val="20"/>
          <w:lang w:eastAsia="en-US"/>
        </w:rPr>
      </w:pPr>
    </w:p>
    <w:p w14:paraId="659304D2" w14:textId="77777777" w:rsidR="0097428C" w:rsidRPr="00E34E0D" w:rsidRDefault="0097428C" w:rsidP="0097428C">
      <w:pPr>
        <w:ind w:right="48"/>
        <w:jc w:val="center"/>
        <w:rPr>
          <w:rFonts w:ascii="Arial" w:eastAsiaTheme="minorHAnsi" w:hAnsi="Arial" w:cs="Arial"/>
          <w:b/>
          <w:sz w:val="20"/>
          <w:szCs w:val="20"/>
          <w:lang w:eastAsia="en-US"/>
        </w:rPr>
      </w:pPr>
      <w:r w:rsidRPr="00E34E0D">
        <w:rPr>
          <w:rFonts w:ascii="Arial" w:eastAsiaTheme="minorHAnsi" w:hAnsi="Arial" w:cs="Arial"/>
          <w:b/>
          <w:sz w:val="20"/>
          <w:szCs w:val="20"/>
          <w:lang w:eastAsia="en-US"/>
        </w:rPr>
        <w:t>HUGO ERIK ZERTUCHE GUERRERO</w:t>
      </w:r>
    </w:p>
    <w:p w14:paraId="542CCCA5" w14:textId="77777777" w:rsidR="0097428C" w:rsidRPr="00E34E0D" w:rsidRDefault="0097428C" w:rsidP="0097428C">
      <w:pPr>
        <w:autoSpaceDE w:val="0"/>
        <w:autoSpaceDN w:val="0"/>
        <w:adjustRightInd w:val="0"/>
        <w:spacing w:line="360" w:lineRule="auto"/>
        <w:jc w:val="center"/>
        <w:rPr>
          <w:rFonts w:ascii="Arial" w:eastAsiaTheme="minorHAnsi" w:hAnsi="Arial" w:cs="Arial"/>
          <w:sz w:val="20"/>
          <w:szCs w:val="20"/>
          <w:lang w:eastAsia="en-US"/>
        </w:rPr>
      </w:pPr>
      <w:r w:rsidRPr="00E34E0D">
        <w:rPr>
          <w:rFonts w:ascii="Arial" w:eastAsiaTheme="minorHAnsi" w:hAnsi="Arial" w:cs="Arial"/>
          <w:b/>
          <w:sz w:val="20"/>
          <w:szCs w:val="20"/>
          <w:lang w:eastAsia="en-US"/>
        </w:rPr>
        <w:t>SECRETARIO TÉCNICO</w:t>
      </w:r>
    </w:p>
    <w:p w14:paraId="5A692D95" w14:textId="77777777" w:rsidR="0097428C" w:rsidRDefault="0097428C" w:rsidP="0097428C"/>
    <w:p w14:paraId="100688EB" w14:textId="77777777" w:rsidR="0097428C" w:rsidRDefault="0097428C" w:rsidP="0097428C"/>
    <w:p w14:paraId="2D141C18" w14:textId="77777777" w:rsidR="0097428C" w:rsidRDefault="0097428C"/>
    <w:sectPr w:rsidR="0097428C" w:rsidSect="0097428C">
      <w:headerReference w:type="even" r:id="rId15"/>
      <w:headerReference w:type="default" r:id="rId16"/>
      <w:footerReference w:type="default" r:id="rId17"/>
      <w:headerReference w:type="first" r:id="rId18"/>
      <w:footerReference w:type="first" r:id="rId19"/>
      <w:pgSz w:w="12240" w:h="15840"/>
      <w:pgMar w:top="2126" w:right="851" w:bottom="1418" w:left="212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FD6D" w14:textId="77777777" w:rsidR="00D84010" w:rsidRDefault="00D84010" w:rsidP="0097428C">
      <w:r>
        <w:separator/>
      </w:r>
    </w:p>
  </w:endnote>
  <w:endnote w:type="continuationSeparator" w:id="0">
    <w:p w14:paraId="66914F76" w14:textId="77777777" w:rsidR="00D84010" w:rsidRDefault="00D84010" w:rsidP="0097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3C2F7" w14:textId="77777777" w:rsidR="00B57359" w:rsidRDefault="00D342AB">
    <w:pPr>
      <w:pStyle w:val="Piedepgina"/>
    </w:pPr>
    <w:r>
      <w:rPr>
        <w:noProof/>
        <w:lang w:val="es-MX" w:eastAsia="es-MX"/>
      </w:rPr>
      <w:drawing>
        <wp:anchor distT="0" distB="0" distL="114300" distR="114300" simplePos="0" relativeHeight="251659264" behindDoc="0" locked="0" layoutInCell="1" allowOverlap="1" wp14:anchorId="71ED7686" wp14:editId="3DE8E791">
          <wp:simplePos x="0" y="0"/>
          <wp:positionH relativeFrom="column">
            <wp:posOffset>-417195</wp:posOffset>
          </wp:positionH>
          <wp:positionV relativeFrom="paragraph">
            <wp:posOffset>-83185</wp:posOffset>
          </wp:positionV>
          <wp:extent cx="6798310" cy="629920"/>
          <wp:effectExtent l="0" t="0" r="0" b="0"/>
          <wp:wrapTight wrapText="bothSides">
            <wp:wrapPolygon edited="0">
              <wp:start x="4600" y="3484"/>
              <wp:lineTo x="404" y="8710"/>
              <wp:lineTo x="404" y="13065"/>
              <wp:lineTo x="4277" y="16548"/>
              <wp:lineTo x="20983" y="16548"/>
              <wp:lineTo x="21063" y="14806"/>
              <wp:lineTo x="21063" y="3484"/>
              <wp:lineTo x="4600" y="3484"/>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
                    <a:extLst>
                      <a:ext uri="{28A0092B-C50C-407E-A947-70E740481C1C}">
                        <a14:useLocalDpi xmlns:a14="http://schemas.microsoft.com/office/drawing/2010/main" val="0"/>
                      </a:ext>
                    </a:extLst>
                  </a:blip>
                  <a:stretch>
                    <a:fillRect/>
                  </a:stretch>
                </pic:blipFill>
                <pic:spPr>
                  <a:xfrm>
                    <a:off x="0" y="0"/>
                    <a:ext cx="6798310" cy="62992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EBF8" w14:textId="77777777" w:rsidR="00B57359" w:rsidRDefault="00D342AB">
    <w:pPr>
      <w:pStyle w:val="Piedepgina"/>
    </w:pPr>
    <w:r w:rsidRPr="000A4455">
      <w:rPr>
        <w:noProof/>
        <w:lang w:val="es-MX" w:eastAsia="es-MX"/>
      </w:rPr>
      <w:drawing>
        <wp:anchor distT="0" distB="0" distL="114300" distR="114300" simplePos="0" relativeHeight="251661312" behindDoc="0" locked="0" layoutInCell="1" allowOverlap="1" wp14:anchorId="5FBD3B65" wp14:editId="799C7E7D">
          <wp:simplePos x="0" y="0"/>
          <wp:positionH relativeFrom="column">
            <wp:posOffset>17145</wp:posOffset>
          </wp:positionH>
          <wp:positionV relativeFrom="paragraph">
            <wp:posOffset>-65405</wp:posOffset>
          </wp:positionV>
          <wp:extent cx="6797040" cy="632460"/>
          <wp:effectExtent l="0" t="0" r="0" b="0"/>
          <wp:wrapTight wrapText="bothSides">
            <wp:wrapPolygon edited="0">
              <wp:start x="4600" y="3484"/>
              <wp:lineTo x="404" y="8710"/>
              <wp:lineTo x="404" y="13065"/>
              <wp:lineTo x="4277" y="16548"/>
              <wp:lineTo x="20983" y="16548"/>
              <wp:lineTo x="21063" y="14806"/>
              <wp:lineTo x="21063" y="3484"/>
              <wp:lineTo x="4600" y="3484"/>
            </wp:wrapPolygon>
          </wp:wrapTight>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
                    <a:extLst>
                      <a:ext uri="{28A0092B-C50C-407E-A947-70E740481C1C}">
                        <a14:useLocalDpi xmlns:a14="http://schemas.microsoft.com/office/drawing/2010/main" val="0"/>
                      </a:ext>
                    </a:extLst>
                  </a:blip>
                  <a:stretch>
                    <a:fillRect/>
                  </a:stretch>
                </pic:blipFill>
                <pic:spPr>
                  <a:xfrm>
                    <a:off x="0" y="0"/>
                    <a:ext cx="6798310" cy="6299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E4EFA" w14:textId="77777777" w:rsidR="00D84010" w:rsidRDefault="00D84010" w:rsidP="0097428C">
      <w:r>
        <w:separator/>
      </w:r>
    </w:p>
  </w:footnote>
  <w:footnote w:type="continuationSeparator" w:id="0">
    <w:p w14:paraId="12F39566" w14:textId="77777777" w:rsidR="00D84010" w:rsidRDefault="00D84010" w:rsidP="0097428C">
      <w:r>
        <w:continuationSeparator/>
      </w:r>
    </w:p>
  </w:footnote>
  <w:footnote w:id="1">
    <w:p w14:paraId="709E711D" w14:textId="77777777" w:rsidR="0097428C" w:rsidRPr="000C65A7" w:rsidRDefault="0097428C" w:rsidP="0097428C">
      <w:pPr>
        <w:tabs>
          <w:tab w:val="left" w:pos="142"/>
        </w:tabs>
        <w:autoSpaceDE w:val="0"/>
        <w:autoSpaceDN w:val="0"/>
        <w:adjustRightInd w:val="0"/>
        <w:jc w:val="both"/>
        <w:rPr>
          <w:rFonts w:ascii="Arial" w:hAnsi="Arial" w:cs="Arial"/>
          <w:sz w:val="20"/>
          <w:szCs w:val="20"/>
        </w:rPr>
      </w:pPr>
      <w:r>
        <w:rPr>
          <w:rStyle w:val="Refdenotaalpie"/>
        </w:rPr>
        <w:footnoteRef/>
      </w:r>
      <w:r>
        <w:rPr>
          <w:rFonts w:ascii="Arial" w:hAnsi="Arial" w:cs="Arial"/>
          <w:sz w:val="20"/>
          <w:szCs w:val="20"/>
        </w:rPr>
        <w:t xml:space="preserve"> </w:t>
      </w:r>
      <w:r w:rsidRPr="000C65A7">
        <w:rPr>
          <w:rFonts w:ascii="Arial" w:hAnsi="Arial" w:cs="Arial"/>
          <w:sz w:val="20"/>
          <w:szCs w:val="20"/>
        </w:rPr>
        <w:t xml:space="preserve">Derivado de la contingencia sanitaria de COVID-19, el Pleno de este órgano garante determinó suspender plazos del </w:t>
      </w:r>
      <w:r w:rsidRPr="000C65A7">
        <w:rPr>
          <w:rFonts w:ascii="Arial" w:hAnsi="Arial" w:cs="Arial"/>
          <w:b/>
          <w:bCs/>
          <w:sz w:val="20"/>
          <w:szCs w:val="20"/>
        </w:rPr>
        <w:t>11 de enero de 2021 al 26 de febrero de 2021</w:t>
      </w:r>
      <w:r w:rsidRPr="000C65A7">
        <w:rPr>
          <w:rFonts w:ascii="Arial" w:hAnsi="Arial" w:cs="Arial"/>
          <w:sz w:val="20"/>
          <w:szCs w:val="20"/>
        </w:rPr>
        <w:t xml:space="preserve">, </w:t>
      </w:r>
      <w:r w:rsidRPr="000C65A7">
        <w:rPr>
          <w:rFonts w:ascii="Arial" w:hAnsi="Arial" w:cs="Arial"/>
          <w:sz w:val="20"/>
          <w:szCs w:val="20"/>
          <w:lang w:val="es-ES"/>
        </w:rPr>
        <w:t>reanudando actividades el día 1 de marzo de 2021</w:t>
      </w:r>
      <w:r w:rsidRPr="000C65A7">
        <w:rPr>
          <w:rFonts w:ascii="Arial" w:hAnsi="Arial" w:cs="Arial"/>
          <w:sz w:val="20"/>
          <w:szCs w:val="20"/>
        </w:rPr>
        <w:t xml:space="preserve">; lo anterior de conformidad con los </w:t>
      </w:r>
      <w:r w:rsidRPr="000C65A7">
        <w:rPr>
          <w:rFonts w:ascii="Arial" w:hAnsi="Arial" w:cs="Arial"/>
          <w:b/>
          <w:bCs/>
          <w:sz w:val="20"/>
          <w:szCs w:val="20"/>
        </w:rPr>
        <w:t xml:space="preserve">Acuerdos </w:t>
      </w:r>
      <w:r w:rsidRPr="000C65A7">
        <w:rPr>
          <w:rFonts w:ascii="Arial" w:hAnsi="Arial" w:cs="Arial"/>
          <w:b/>
          <w:bCs/>
          <w:sz w:val="20"/>
          <w:szCs w:val="20"/>
          <w:lang w:val="es-ES"/>
        </w:rPr>
        <w:t>0001/SE/08-01/2021, 0002/SE/29-01/2021 y 0007/SE/19-02/2021.</w:t>
      </w:r>
    </w:p>
    <w:p w14:paraId="09664BF7" w14:textId="1D857A7C" w:rsidR="0097428C" w:rsidRPr="000C65A7" w:rsidRDefault="0097428C" w:rsidP="0097428C">
      <w:pPr>
        <w:tabs>
          <w:tab w:val="left" w:pos="142"/>
        </w:tabs>
        <w:autoSpaceDE w:val="0"/>
        <w:autoSpaceDN w:val="0"/>
        <w:adjustRightInd w:val="0"/>
        <w:jc w:val="both"/>
        <w:rPr>
          <w:rFonts w:ascii="Arial" w:hAnsi="Arial" w:cs="Arial"/>
          <w:b/>
          <w:bCs/>
          <w:sz w:val="20"/>
          <w:szCs w:val="20"/>
          <w:lang w:val="es"/>
        </w:rPr>
      </w:pPr>
      <w:r w:rsidRPr="000C65A7">
        <w:rPr>
          <w:rFonts w:ascii="Arial" w:hAnsi="Arial" w:cs="Arial"/>
          <w:sz w:val="20"/>
          <w:szCs w:val="20"/>
          <w:lang w:val="es-ES"/>
        </w:rPr>
        <w:t xml:space="preserve">Ahora bien, mediante </w:t>
      </w:r>
      <w:r w:rsidRPr="000C65A7">
        <w:rPr>
          <w:rFonts w:ascii="Arial" w:hAnsi="Arial" w:cs="Arial"/>
          <w:b/>
          <w:bCs/>
          <w:sz w:val="20"/>
          <w:szCs w:val="20"/>
          <w:lang w:val="es-ES"/>
        </w:rPr>
        <w:t xml:space="preserve">Acuerdo 00011/SE/26-02/2021, </w:t>
      </w:r>
      <w:r w:rsidRPr="000C65A7">
        <w:rPr>
          <w:rFonts w:ascii="Arial" w:hAnsi="Arial" w:cs="Arial"/>
          <w:sz w:val="20"/>
          <w:szCs w:val="20"/>
          <w:lang w:val="es-ES"/>
        </w:rPr>
        <w:t xml:space="preserve">se estableció para el sujeto obligado en el </w:t>
      </w:r>
      <w:r w:rsidRPr="000C65A7">
        <w:rPr>
          <w:rFonts w:ascii="Arial" w:hAnsi="Arial" w:cs="Arial"/>
          <w:b/>
          <w:bCs/>
          <w:sz w:val="20"/>
          <w:szCs w:val="20"/>
          <w:lang w:val="es-ES"/>
        </w:rPr>
        <w:t>Calendario de Regreso Escalonado,</w:t>
      </w:r>
      <w:r w:rsidRPr="000C65A7">
        <w:rPr>
          <w:rFonts w:ascii="Arial" w:hAnsi="Arial" w:cs="Arial"/>
          <w:sz w:val="20"/>
          <w:szCs w:val="20"/>
          <w:lang w:val="es-ES"/>
        </w:rPr>
        <w:t xml:space="preserve"> como regreso gradual </w:t>
      </w:r>
      <w:r w:rsidRPr="000C65A7">
        <w:rPr>
          <w:rFonts w:ascii="Arial" w:hAnsi="Arial" w:cs="Arial"/>
          <w:b/>
          <w:bCs/>
          <w:sz w:val="20"/>
          <w:szCs w:val="20"/>
          <w:lang w:val="es-ES"/>
        </w:rPr>
        <w:t xml:space="preserve">para la atención de recursos de revisión el día 5 de marzo de 2021 y para la atención de solicitudes </w:t>
      </w:r>
      <w:r w:rsidRPr="000C65A7">
        <w:rPr>
          <w:rFonts w:ascii="Arial" w:hAnsi="Arial" w:cs="Arial"/>
          <w:b/>
          <w:bCs/>
          <w:sz w:val="20"/>
          <w:szCs w:val="20"/>
          <w:lang w:val="es"/>
        </w:rPr>
        <w:t xml:space="preserve">de información y de derechos ARCO el día </w:t>
      </w:r>
      <w:r w:rsidR="000C65A7" w:rsidRPr="000C65A7">
        <w:rPr>
          <w:rFonts w:ascii="Arial" w:hAnsi="Arial" w:cs="Arial"/>
          <w:b/>
          <w:bCs/>
          <w:sz w:val="20"/>
          <w:szCs w:val="20"/>
          <w:lang w:val="es"/>
        </w:rPr>
        <w:t>9</w:t>
      </w:r>
      <w:r w:rsidRPr="000C65A7">
        <w:rPr>
          <w:rFonts w:ascii="Arial" w:hAnsi="Arial" w:cs="Arial"/>
          <w:b/>
          <w:bCs/>
          <w:sz w:val="20"/>
          <w:szCs w:val="20"/>
          <w:lang w:val="es"/>
        </w:rPr>
        <w:t xml:space="preserve"> de abril de 2021.</w:t>
      </w:r>
    </w:p>
    <w:p w14:paraId="347D01E5" w14:textId="64DFF5BA" w:rsidR="0097428C" w:rsidRPr="000C65A7" w:rsidRDefault="0097428C" w:rsidP="0097428C">
      <w:pPr>
        <w:tabs>
          <w:tab w:val="left" w:pos="142"/>
        </w:tabs>
        <w:autoSpaceDE w:val="0"/>
        <w:autoSpaceDN w:val="0"/>
        <w:adjustRightInd w:val="0"/>
        <w:jc w:val="both"/>
        <w:rPr>
          <w:rFonts w:ascii="Arial" w:hAnsi="Arial" w:cs="Arial"/>
          <w:b/>
          <w:bCs/>
          <w:sz w:val="20"/>
          <w:szCs w:val="20"/>
          <w:lang w:val="es-ES"/>
        </w:rPr>
      </w:pPr>
      <w:r w:rsidRPr="000C65A7">
        <w:rPr>
          <w:rFonts w:ascii="Arial" w:hAnsi="Arial" w:cs="Arial"/>
          <w:sz w:val="20"/>
          <w:szCs w:val="20"/>
          <w:lang w:val="es"/>
        </w:rPr>
        <w:t xml:space="preserve">Por otro lado, derivado del avance a color verde en el semáforo epidemiológico en la Ciudad de México, el Pleno de este Instituto mediante </w:t>
      </w:r>
      <w:r w:rsidRPr="000C65A7">
        <w:rPr>
          <w:rFonts w:ascii="Arial" w:hAnsi="Arial" w:cs="Arial"/>
          <w:b/>
          <w:bCs/>
          <w:sz w:val="20"/>
          <w:szCs w:val="20"/>
          <w:lang w:val="es-ES"/>
        </w:rPr>
        <w:t xml:space="preserve">Acuerdo 0827/SO/09-06/2021 </w:t>
      </w:r>
      <w:r w:rsidRPr="000C65A7">
        <w:rPr>
          <w:rFonts w:ascii="Arial" w:hAnsi="Arial" w:cs="Arial"/>
          <w:sz w:val="20"/>
          <w:szCs w:val="20"/>
          <w:lang w:val="es-ES"/>
        </w:rPr>
        <w:t xml:space="preserve">estableció para el sujeto obligado en el nuevo </w:t>
      </w:r>
      <w:r w:rsidRPr="000C65A7">
        <w:rPr>
          <w:rFonts w:ascii="Arial" w:hAnsi="Arial" w:cs="Arial"/>
          <w:b/>
          <w:bCs/>
          <w:sz w:val="20"/>
          <w:szCs w:val="20"/>
          <w:lang w:val="es-ES"/>
        </w:rPr>
        <w:t xml:space="preserve">Calendario de Regreso Escalonado, como regreso gradual para la atención de solicitudes </w:t>
      </w:r>
      <w:r w:rsidRPr="000C65A7">
        <w:rPr>
          <w:rFonts w:ascii="Arial" w:hAnsi="Arial" w:cs="Arial"/>
          <w:b/>
          <w:bCs/>
          <w:sz w:val="20"/>
          <w:szCs w:val="20"/>
          <w:lang w:val="es"/>
        </w:rPr>
        <w:t xml:space="preserve">de información y de derechos ARCO el día </w:t>
      </w:r>
      <w:r w:rsidR="000C65A7" w:rsidRPr="000C65A7">
        <w:rPr>
          <w:rFonts w:ascii="Arial" w:hAnsi="Arial" w:cs="Arial"/>
          <w:b/>
          <w:bCs/>
          <w:sz w:val="20"/>
          <w:szCs w:val="20"/>
          <w:lang w:val="es"/>
        </w:rPr>
        <w:t>10</w:t>
      </w:r>
      <w:r w:rsidRPr="000C65A7">
        <w:rPr>
          <w:rFonts w:ascii="Arial" w:hAnsi="Arial" w:cs="Arial"/>
          <w:b/>
          <w:bCs/>
          <w:sz w:val="20"/>
          <w:szCs w:val="20"/>
          <w:lang w:val="es"/>
        </w:rPr>
        <w:t xml:space="preserve"> de </w:t>
      </w:r>
      <w:r w:rsidR="000C65A7" w:rsidRPr="000C65A7">
        <w:rPr>
          <w:rFonts w:ascii="Arial" w:hAnsi="Arial" w:cs="Arial"/>
          <w:b/>
          <w:bCs/>
          <w:sz w:val="20"/>
          <w:szCs w:val="20"/>
          <w:lang w:val="es"/>
        </w:rPr>
        <w:t>agosto</w:t>
      </w:r>
      <w:r w:rsidRPr="000C65A7">
        <w:rPr>
          <w:rFonts w:ascii="Arial" w:hAnsi="Arial" w:cs="Arial"/>
          <w:b/>
          <w:bCs/>
          <w:sz w:val="20"/>
          <w:szCs w:val="20"/>
          <w:lang w:val="es"/>
        </w:rPr>
        <w:t xml:space="preserve"> de 2021.</w:t>
      </w:r>
    </w:p>
    <w:p w14:paraId="3ABE8CC0" w14:textId="77777777" w:rsidR="0097428C" w:rsidRPr="00DB26C6" w:rsidRDefault="0097428C" w:rsidP="0097428C">
      <w:pPr>
        <w:tabs>
          <w:tab w:val="left" w:pos="142"/>
        </w:tabs>
        <w:autoSpaceDE w:val="0"/>
        <w:autoSpaceDN w:val="0"/>
        <w:adjustRightInd w:val="0"/>
        <w:jc w:val="both"/>
        <w:rPr>
          <w:rFonts w:ascii="Arial" w:hAnsi="Arial" w:cs="Arial"/>
          <w:color w:val="0563C1" w:themeColor="hyperlink"/>
          <w:sz w:val="20"/>
          <w:szCs w:val="20"/>
          <w:u w:val="single"/>
        </w:rPr>
      </w:pPr>
      <w:r w:rsidRPr="000C65A7">
        <w:rPr>
          <w:rFonts w:ascii="Arial" w:hAnsi="Arial" w:cs="Arial"/>
          <w:sz w:val="20"/>
          <w:szCs w:val="20"/>
          <w:lang w:val="es-ES"/>
        </w:rPr>
        <w:t xml:space="preserve">*El contenido integral de los acuerdos de referencia </w:t>
      </w:r>
      <w:r w:rsidRPr="000C65A7">
        <w:rPr>
          <w:rFonts w:ascii="Arial" w:hAnsi="Arial" w:cs="Arial"/>
          <w:sz w:val="20"/>
          <w:szCs w:val="20"/>
        </w:rPr>
        <w:t xml:space="preserve">puede ser consultados en </w:t>
      </w:r>
      <w:hyperlink r:id="rId1" w:history="1">
        <w:r w:rsidRPr="000C65A7">
          <w:rPr>
            <w:rStyle w:val="Hipervnculo"/>
            <w:rFonts w:ascii="Arial" w:hAnsi="Arial" w:cs="Arial"/>
            <w:sz w:val="20"/>
            <w:szCs w:val="20"/>
          </w:rPr>
          <w:t>http://www.infodf.org.mx/index.php/acuerdos.html</w:t>
        </w:r>
      </w:hyperlink>
    </w:p>
    <w:p w14:paraId="3B2A846E" w14:textId="77777777" w:rsidR="0097428C" w:rsidRPr="002C25B0" w:rsidRDefault="0097428C" w:rsidP="0097428C">
      <w:pPr>
        <w:jc w:val="both"/>
      </w:pPr>
    </w:p>
  </w:footnote>
  <w:footnote w:id="2">
    <w:p w14:paraId="69275244" w14:textId="0C186554" w:rsidR="0097428C" w:rsidRPr="00C1669C" w:rsidRDefault="0097428C" w:rsidP="0097428C">
      <w:pPr>
        <w:pStyle w:val="Textonotapie"/>
        <w:jc w:val="both"/>
        <w:rPr>
          <w:rFonts w:ascii="Arial" w:hAnsi="Arial" w:cs="Arial"/>
        </w:rPr>
      </w:pPr>
      <w:r w:rsidRPr="009F206E">
        <w:rPr>
          <w:rStyle w:val="Refdenotaalpie"/>
        </w:rPr>
        <w:footnoteRef/>
      </w:r>
      <w:r w:rsidRPr="009F206E">
        <w:t xml:space="preserve"> </w:t>
      </w:r>
      <w:r w:rsidRPr="009F206E">
        <w:rPr>
          <w:rFonts w:ascii="Arial" w:hAnsi="Arial" w:cs="Arial"/>
        </w:rPr>
        <w:t>D</w:t>
      </w:r>
      <w:r w:rsidRPr="009F206E">
        <w:rPr>
          <w:rFonts w:ascii="Arial" w:hAnsi="Arial" w:cs="Arial"/>
          <w:lang w:val="es-ES"/>
        </w:rPr>
        <w:t xml:space="preserve">erivado de los problemas presentados en la Plataforma Nacional de Transparencia (PNT), el Pleno de este órgano garante determinó suspender plazos del 26 al 29 de octubre de 2021; lo anterior de conformidad con </w:t>
      </w:r>
      <w:r w:rsidR="009F206E" w:rsidRPr="009F206E">
        <w:rPr>
          <w:rFonts w:ascii="Arial" w:hAnsi="Arial" w:cs="Arial"/>
          <w:lang w:val="es-ES"/>
        </w:rPr>
        <w:t>el</w:t>
      </w:r>
      <w:r w:rsidRPr="009F206E">
        <w:rPr>
          <w:rFonts w:ascii="Arial" w:hAnsi="Arial" w:cs="Arial"/>
          <w:lang w:val="es-ES"/>
        </w:rPr>
        <w:t xml:space="preserve"> Acuerdo</w:t>
      </w:r>
      <w:r w:rsidR="009F206E" w:rsidRPr="009F206E">
        <w:rPr>
          <w:rFonts w:ascii="Arial" w:hAnsi="Arial" w:cs="Arial"/>
          <w:lang w:val="es-ES"/>
        </w:rPr>
        <w:t xml:space="preserve"> </w:t>
      </w:r>
      <w:r w:rsidRPr="009F206E">
        <w:rPr>
          <w:rFonts w:ascii="Arial" w:hAnsi="Arial" w:cs="Arial"/>
          <w:lang w:val="es-ES"/>
        </w:rPr>
        <w:t xml:space="preserve">1884/SO/04-11/2021; cuyo contenido puede ser consultados en </w:t>
      </w:r>
      <w:hyperlink r:id="rId2" w:history="1">
        <w:r w:rsidRPr="009F206E">
          <w:rPr>
            <w:rStyle w:val="Hipervnculo"/>
            <w:rFonts w:ascii="Arial" w:hAnsi="Arial" w:cs="Arial"/>
          </w:rPr>
          <w:t>http://www.infodf.org.mx/index.php/acuerdos.html</w:t>
        </w:r>
      </w:hyperlink>
      <w:r>
        <w:rPr>
          <w:rStyle w:val="Hipervnculo"/>
          <w:rFonts w:ascii="Arial" w:hAnsi="Arial" w:cs="Arial"/>
        </w:rPr>
        <w:t xml:space="preserve"> </w:t>
      </w:r>
    </w:p>
    <w:p w14:paraId="248BE088" w14:textId="77777777" w:rsidR="0097428C" w:rsidRPr="0051407B" w:rsidRDefault="0097428C" w:rsidP="0097428C">
      <w:pPr>
        <w:pStyle w:val="Textonotapie"/>
      </w:pPr>
    </w:p>
  </w:footnote>
  <w:footnote w:id="3">
    <w:p w14:paraId="2531957A" w14:textId="42EBC739" w:rsidR="0097428C" w:rsidRPr="0017607C" w:rsidRDefault="0097428C" w:rsidP="0097428C">
      <w:pPr>
        <w:pStyle w:val="Textonotapie"/>
        <w:jc w:val="both"/>
        <w:rPr>
          <w:rFonts w:ascii="Arial" w:hAnsi="Arial" w:cs="Arial"/>
        </w:rPr>
      </w:pPr>
      <w:r w:rsidRPr="003A4897">
        <w:rPr>
          <w:rStyle w:val="Refdenotaalpie"/>
        </w:rPr>
        <w:footnoteRef/>
      </w:r>
      <w:r w:rsidRPr="003A4897">
        <w:t xml:space="preserve"> </w:t>
      </w:r>
      <w:r w:rsidRPr="003A4897">
        <w:rPr>
          <w:rStyle w:val="Hipervnculo"/>
          <w:rFonts w:ascii="Arial" w:hAnsi="Arial" w:cs="Arial"/>
          <w:color w:val="auto"/>
          <w:u w:val="none"/>
        </w:rPr>
        <w:t xml:space="preserve">Siendo también inhábil </w:t>
      </w:r>
      <w:r w:rsidR="003A4897" w:rsidRPr="003A4897">
        <w:rPr>
          <w:rStyle w:val="Hipervnculo"/>
          <w:rFonts w:ascii="Arial" w:hAnsi="Arial" w:cs="Arial"/>
          <w:color w:val="auto"/>
          <w:u w:val="none"/>
        </w:rPr>
        <w:t>el</w:t>
      </w:r>
      <w:r w:rsidRPr="003A4897">
        <w:rPr>
          <w:rStyle w:val="Hipervnculo"/>
          <w:rFonts w:ascii="Arial" w:hAnsi="Arial" w:cs="Arial"/>
          <w:color w:val="auto"/>
          <w:u w:val="none"/>
        </w:rPr>
        <w:t xml:space="preserve"> día</w:t>
      </w:r>
      <w:r w:rsidR="003A4897" w:rsidRPr="003A4897">
        <w:rPr>
          <w:rStyle w:val="Hipervnculo"/>
          <w:rFonts w:ascii="Arial" w:hAnsi="Arial" w:cs="Arial"/>
          <w:color w:val="auto"/>
          <w:u w:val="none"/>
        </w:rPr>
        <w:t xml:space="preserve"> </w:t>
      </w:r>
      <w:r w:rsidRPr="003A4897">
        <w:rPr>
          <w:rStyle w:val="Hipervnculo"/>
          <w:rFonts w:ascii="Arial" w:hAnsi="Arial" w:cs="Arial"/>
          <w:color w:val="auto"/>
          <w:u w:val="none"/>
        </w:rPr>
        <w:t>15 de noviembre de 2021</w:t>
      </w:r>
      <w:r w:rsidRPr="003A4897">
        <w:rPr>
          <w:rStyle w:val="Hipervnculo"/>
          <w:rFonts w:ascii="Arial" w:hAnsi="Arial" w:cs="Arial"/>
          <w:color w:val="auto"/>
        </w:rPr>
        <w:t xml:space="preserve"> </w:t>
      </w:r>
      <w:r w:rsidRPr="003A4897">
        <w:rPr>
          <w:rFonts w:ascii="Arial" w:hAnsi="Arial" w:cs="Arial"/>
        </w:rPr>
        <w:t>de conformidad con el calendario administrativo aprobado por el Pleno de este Instituto para el año 2021.</w:t>
      </w:r>
    </w:p>
    <w:p w14:paraId="7A403B83" w14:textId="77777777" w:rsidR="0097428C" w:rsidRPr="0051407B" w:rsidRDefault="0097428C" w:rsidP="0097428C">
      <w:pPr>
        <w:pStyle w:val="Textonotapie"/>
      </w:pPr>
    </w:p>
  </w:footnote>
  <w:footnote w:id="4">
    <w:p w14:paraId="6F54994B" w14:textId="77777777" w:rsidR="0090739C" w:rsidRPr="00441EBD" w:rsidRDefault="0090739C" w:rsidP="0090739C">
      <w:pPr>
        <w:pStyle w:val="Textonotapie"/>
        <w:jc w:val="both"/>
        <w:rPr>
          <w:rFonts w:ascii="Arial" w:hAnsi="Arial" w:cs="Arial"/>
        </w:rPr>
      </w:pPr>
      <w:r w:rsidRPr="00441EBD">
        <w:rPr>
          <w:rStyle w:val="Refdenotaalpie"/>
          <w:rFonts w:ascii="Arial" w:hAnsi="Arial" w:cs="Arial"/>
        </w:rPr>
        <w:footnoteRef/>
      </w:r>
      <w:r w:rsidRPr="00441EBD">
        <w:rPr>
          <w:rFonts w:ascii="Arial" w:hAnsi="Arial" w:cs="Arial"/>
        </w:rPr>
        <w:t xml:space="preserve"> Número 940, publicada en la página 1538 de la Segunda Parte del Apéndice al Semanario Judicial de la Federación 1917-1988.</w:t>
      </w:r>
    </w:p>
  </w:footnote>
  <w:footnote w:id="5">
    <w:p w14:paraId="64499EB8" w14:textId="77777777" w:rsidR="0097428C" w:rsidRPr="004D6C98" w:rsidRDefault="0097428C" w:rsidP="0097428C">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Consultable en Semanario Judicial de la Federación y su Gaceta, Época: Novena Época; Registro: 203143; Instancia: Tribunales Colegiados de Circuito; Tomo III, </w:t>
      </w:r>
      <w:proofErr w:type="gramStart"/>
      <w:r w:rsidRPr="004D6C98">
        <w:rPr>
          <w:rFonts w:ascii="Arial" w:hAnsi="Arial" w:cs="Arial"/>
        </w:rPr>
        <w:t>Marzo</w:t>
      </w:r>
      <w:proofErr w:type="gramEnd"/>
      <w:r w:rsidRPr="004D6C98">
        <w:rPr>
          <w:rFonts w:ascii="Arial" w:hAnsi="Arial" w:cs="Arial"/>
        </w:rPr>
        <w:t xml:space="preserve"> de 1996; Tesis: VI.2o. J/43; Página: 769</w:t>
      </w:r>
    </w:p>
  </w:footnote>
  <w:footnote w:id="6">
    <w:p w14:paraId="775AD288" w14:textId="77777777" w:rsidR="0097428C" w:rsidRPr="004D6C98" w:rsidRDefault="0097428C" w:rsidP="0097428C">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Consultable en Semanario Judicial de la Federación y su Gaceta, Época: Novena Época; Registro: 197923; Instancia: Tribunales Colegiados de Circuito; Tomo VI, </w:t>
      </w:r>
      <w:proofErr w:type="gramStart"/>
      <w:r w:rsidRPr="004D6C98">
        <w:rPr>
          <w:rFonts w:ascii="Arial" w:hAnsi="Arial" w:cs="Arial"/>
        </w:rPr>
        <w:t>Agosto</w:t>
      </w:r>
      <w:proofErr w:type="gramEnd"/>
      <w:r w:rsidRPr="004D6C98">
        <w:rPr>
          <w:rFonts w:ascii="Arial" w:hAnsi="Arial" w:cs="Arial"/>
        </w:rPr>
        <w:t xml:space="preserve"> de 1997; Tesis: XIV.2o. J/12; Página: 538</w:t>
      </w:r>
    </w:p>
  </w:footnote>
  <w:footnote w:id="7">
    <w:p w14:paraId="724B9581" w14:textId="77777777" w:rsidR="0097428C" w:rsidRPr="004D6C98" w:rsidRDefault="0097428C" w:rsidP="0097428C">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Consultable en Semanario Judicial de la Federación y su Gaceta, Época: Novena Época; Registro: 188432; Instancia: Segunda Sala; Tomo XIV, </w:t>
      </w:r>
      <w:proofErr w:type="gramStart"/>
      <w:r w:rsidRPr="004D6C98">
        <w:rPr>
          <w:rFonts w:ascii="Arial" w:hAnsi="Arial" w:cs="Arial"/>
        </w:rPr>
        <w:t>Noviembre</w:t>
      </w:r>
      <w:proofErr w:type="gramEnd"/>
      <w:r w:rsidRPr="004D6C98">
        <w:rPr>
          <w:rFonts w:ascii="Arial" w:hAnsi="Arial" w:cs="Arial"/>
        </w:rPr>
        <w:t xml:space="preserve"> de 2001; Tesis: 2a./J. 57/2001; Página: 31 </w:t>
      </w:r>
    </w:p>
  </w:footnote>
  <w:footnote w:id="8">
    <w:p w14:paraId="58B3577E" w14:textId="77777777" w:rsidR="0097428C" w:rsidRPr="004D6C98" w:rsidRDefault="0097428C" w:rsidP="0097428C">
      <w:pPr>
        <w:jc w:val="both"/>
        <w:outlineLvl w:val="0"/>
        <w:rPr>
          <w:rFonts w:ascii="Arial" w:hAnsi="Arial" w:cs="Arial"/>
          <w:sz w:val="20"/>
          <w:szCs w:val="20"/>
        </w:rPr>
      </w:pPr>
      <w:r w:rsidRPr="004D6C98">
        <w:rPr>
          <w:rStyle w:val="Refdenotaalpie"/>
          <w:rFonts w:ascii="Arial" w:hAnsi="Arial" w:cs="Arial"/>
          <w:sz w:val="20"/>
          <w:szCs w:val="20"/>
        </w:rPr>
        <w:footnoteRef/>
      </w:r>
      <w:r w:rsidRPr="004D6C98">
        <w:rPr>
          <w:rFonts w:ascii="Arial" w:hAnsi="Arial" w:cs="Arial"/>
          <w:sz w:val="20"/>
          <w:szCs w:val="20"/>
        </w:rPr>
        <w:t xml:space="preserve"> Consultable en Semanario Judicial de la Federación y su Gaceta, Época: Octava Época; Registro: 205463; Instancia: Pleno; Núm. 77, Mayo de 1994; Tesis: P./J. 10/94; Página: 12 </w:t>
      </w:r>
    </w:p>
    <w:p w14:paraId="733070AF" w14:textId="77777777" w:rsidR="0097428C" w:rsidRPr="00E767A4" w:rsidRDefault="0097428C" w:rsidP="0097428C">
      <w:pPr>
        <w:jc w:val="both"/>
        <w:outlineLvl w:val="0"/>
        <w:rPr>
          <w:rFonts w:ascii="Arial" w:eastAsia="Calibri" w:hAnsi="Arial" w:cs="Arial"/>
          <w:b/>
          <w:bCs/>
          <w:i/>
          <w:iCs/>
          <w:color w:val="000000"/>
        </w:rPr>
      </w:pPr>
    </w:p>
  </w:footnote>
  <w:footnote w:id="9">
    <w:p w14:paraId="245FE9B4" w14:textId="77777777" w:rsidR="0097428C" w:rsidRPr="004D6C98" w:rsidRDefault="0097428C" w:rsidP="0097428C">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Época: Novena Época, Registro: 179074, Instancia: Tribunales Colegiados de Circuito, Tipo de Tesis: Jurisprudencia, Fuente: Semanario Judicial de la Federación y su Gaceta, Tomo XXI, </w:t>
      </w:r>
      <w:proofErr w:type="gramStart"/>
      <w:r w:rsidRPr="004D6C98">
        <w:rPr>
          <w:rFonts w:ascii="Arial" w:hAnsi="Arial" w:cs="Arial"/>
        </w:rPr>
        <w:t>Marzo</w:t>
      </w:r>
      <w:proofErr w:type="gramEnd"/>
      <w:r w:rsidRPr="004D6C98">
        <w:rPr>
          <w:rFonts w:ascii="Arial" w:hAnsi="Arial" w:cs="Arial"/>
        </w:rPr>
        <w:t xml:space="preserve"> de 2005, Materia(s): Laboral, Tesis: IV.2o.T. J/44, Página: 959 </w:t>
      </w:r>
    </w:p>
  </w:footnote>
  <w:footnote w:id="10">
    <w:p w14:paraId="0E95693F" w14:textId="77777777" w:rsidR="0097428C" w:rsidRPr="004D6C98" w:rsidRDefault="0097428C" w:rsidP="0097428C">
      <w:pPr>
        <w:pStyle w:val="Textonotapie"/>
        <w:jc w:val="both"/>
        <w:rPr>
          <w:rFonts w:ascii="Arial" w:hAnsi="Arial" w:cs="Arial"/>
        </w:rPr>
      </w:pPr>
      <w:r w:rsidRPr="004D6C98">
        <w:rPr>
          <w:rStyle w:val="Refdenotaalpie"/>
          <w:rFonts w:ascii="Arial" w:hAnsi="Arial" w:cs="Arial"/>
        </w:rPr>
        <w:footnoteRef/>
      </w:r>
      <w:r w:rsidRPr="004D6C98">
        <w:rPr>
          <w:rFonts w:ascii="Arial" w:hAnsi="Arial" w:cs="Arial"/>
        </w:rPr>
        <w:t xml:space="preserve"> Época: Novena Época, Registro: 187528, Instancia: Tribunales Colegiados de Circuito, Tipo de Tesis: Jurisprudencia, Fuente: Semanario Judicial de la Federación y su Gaceta, Tomo XV, </w:t>
      </w:r>
      <w:proofErr w:type="gramStart"/>
      <w:r w:rsidRPr="004D6C98">
        <w:rPr>
          <w:rFonts w:ascii="Arial" w:hAnsi="Arial" w:cs="Arial"/>
        </w:rPr>
        <w:t>Marzo</w:t>
      </w:r>
      <w:proofErr w:type="gramEnd"/>
      <w:r w:rsidRPr="004D6C98">
        <w:rPr>
          <w:rFonts w:ascii="Arial" w:hAnsi="Arial" w:cs="Arial"/>
        </w:rPr>
        <w:t xml:space="preserve"> de 2002, Materia(s): Común, Tesis: VI.3o.A. J/13, Página: 1187 </w:t>
      </w:r>
    </w:p>
  </w:footnote>
  <w:footnote w:id="11">
    <w:p w14:paraId="14F35AF9" w14:textId="77777777" w:rsidR="0097428C" w:rsidRPr="00090B7C" w:rsidRDefault="0097428C" w:rsidP="0097428C">
      <w:pPr>
        <w:pStyle w:val="Textonotapie"/>
        <w:jc w:val="both"/>
      </w:pPr>
      <w:r w:rsidRPr="004D6C98">
        <w:rPr>
          <w:rStyle w:val="Refdenotaalpie"/>
          <w:rFonts w:ascii="Arial" w:hAnsi="Arial" w:cs="Arial"/>
        </w:rPr>
        <w:footnoteRef/>
      </w:r>
      <w:r w:rsidRPr="004D6C98">
        <w:rPr>
          <w:rFonts w:ascii="Arial" w:hAnsi="Arial" w:cs="Arial"/>
        </w:rPr>
        <w:t xml:space="preserve"> Consultable en Semanario Judicial de la Federación y su Gaceta, Novena Época, Tomo III, </w:t>
      </w:r>
      <w:proofErr w:type="gramStart"/>
      <w:r w:rsidRPr="004D6C98">
        <w:rPr>
          <w:rFonts w:ascii="Arial" w:hAnsi="Arial" w:cs="Arial"/>
        </w:rPr>
        <w:t>Abril</w:t>
      </w:r>
      <w:proofErr w:type="gramEnd"/>
      <w:r w:rsidRPr="004D6C98">
        <w:rPr>
          <w:rFonts w:ascii="Arial" w:hAnsi="Arial" w:cs="Arial"/>
        </w:rPr>
        <w:t xml:space="preserve"> de 1996, pág. 125.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C810" w14:textId="77777777" w:rsidR="00B57359" w:rsidRDefault="00D342AB" w:rsidP="00B57359">
    <w:pPr>
      <w:pStyle w:val="Encabezado"/>
      <w:framePr w:wrap="around" w:vAnchor="text" w:hAnchor="margin" w:xAlign="right" w:y="1"/>
    </w:pPr>
    <w:r>
      <w:fldChar w:fldCharType="begin"/>
    </w:r>
    <w:r>
      <w:instrText xml:space="preserve">PAGE  </w:instrText>
    </w:r>
    <w:r>
      <w:fldChar w:fldCharType="end"/>
    </w:r>
  </w:p>
  <w:p w14:paraId="2E090433" w14:textId="77777777" w:rsidR="00B57359" w:rsidRDefault="00D84010" w:rsidP="00B57359">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5256" w14:textId="77777777" w:rsidR="00B57359" w:rsidRPr="00F533AB" w:rsidRDefault="00D342AB" w:rsidP="00B57359">
    <w:pPr>
      <w:pStyle w:val="Encabezado"/>
      <w:framePr w:wrap="around" w:vAnchor="text" w:hAnchor="margin" w:xAlign="right" w:y="1"/>
      <w:rPr>
        <w:rFonts w:ascii="Arial" w:hAnsi="Arial" w:cs="Arial"/>
      </w:rPr>
    </w:pPr>
    <w:r w:rsidRPr="00F533AB">
      <w:rPr>
        <w:rFonts w:ascii="Arial" w:hAnsi="Arial" w:cs="Arial"/>
      </w:rPr>
      <w:fldChar w:fldCharType="begin"/>
    </w:r>
    <w:r w:rsidRPr="00F533AB">
      <w:rPr>
        <w:rFonts w:ascii="Arial" w:hAnsi="Arial" w:cs="Arial"/>
      </w:rPr>
      <w:instrText xml:space="preserve">PAGE  </w:instrText>
    </w:r>
    <w:r w:rsidRPr="00F533AB">
      <w:rPr>
        <w:rFonts w:ascii="Arial" w:hAnsi="Arial" w:cs="Arial"/>
      </w:rPr>
      <w:fldChar w:fldCharType="separate"/>
    </w:r>
    <w:r>
      <w:rPr>
        <w:rFonts w:ascii="Arial" w:hAnsi="Arial" w:cs="Arial"/>
        <w:noProof/>
      </w:rPr>
      <w:t>21</w:t>
    </w:r>
    <w:r w:rsidRPr="00F533AB">
      <w:rPr>
        <w:rFonts w:ascii="Arial" w:hAnsi="Arial" w:cs="Arial"/>
      </w:rPr>
      <w:fldChar w:fldCharType="end"/>
    </w:r>
  </w:p>
  <w:p w14:paraId="5C8C971D" w14:textId="77777777" w:rsidR="0098699A" w:rsidRDefault="00D342AB" w:rsidP="0098699A">
    <w:pPr>
      <w:spacing w:before="120"/>
      <w:ind w:left="4395"/>
      <w:rPr>
        <w:rFonts w:ascii="Arial" w:eastAsia="MS Mincho" w:hAnsi="Arial" w:cs="Arial"/>
        <w:b/>
      </w:rPr>
    </w:pPr>
    <w:r w:rsidRPr="00330B39">
      <w:rPr>
        <w:noProof/>
      </w:rPr>
      <w:drawing>
        <wp:anchor distT="0" distB="0" distL="114300" distR="114300" simplePos="0" relativeHeight="251662336" behindDoc="1" locked="0" layoutInCell="1" allowOverlap="1" wp14:anchorId="2CB099C8" wp14:editId="0E085D3C">
          <wp:simplePos x="0" y="0"/>
          <wp:positionH relativeFrom="column">
            <wp:posOffset>-250190</wp:posOffset>
          </wp:positionH>
          <wp:positionV relativeFrom="paragraph">
            <wp:posOffset>-83820</wp:posOffset>
          </wp:positionV>
          <wp:extent cx="1527175" cy="619748"/>
          <wp:effectExtent l="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INFO.png"/>
                  <pic:cNvPicPr/>
                </pic:nvPicPr>
                <pic:blipFill rotWithShape="1">
                  <a:blip r:embed="rId1">
                    <a:extLst>
                      <a:ext uri="{28A0092B-C50C-407E-A947-70E740481C1C}">
                        <a14:useLocalDpi xmlns:a14="http://schemas.microsoft.com/office/drawing/2010/main" val="0"/>
                      </a:ext>
                    </a:extLst>
                  </a:blip>
                  <a:srcRect r="77165"/>
                  <a:stretch/>
                </pic:blipFill>
                <pic:spPr bwMode="auto">
                  <a:xfrm>
                    <a:off x="0" y="0"/>
                    <a:ext cx="1529763" cy="620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w:eastAsia="MS Mincho" w:hAnsi="Arial" w:cs="Arial"/>
        <w:b/>
      </w:rPr>
      <w:t>Recurso de revisión en materia de derecho de acceso a información pública</w:t>
    </w:r>
  </w:p>
  <w:p w14:paraId="188E26A1" w14:textId="77777777" w:rsidR="0098699A" w:rsidRPr="00B37E9C" w:rsidRDefault="00D342AB" w:rsidP="0098699A">
    <w:pPr>
      <w:spacing w:before="120"/>
      <w:ind w:left="4395"/>
      <w:rPr>
        <w:rFonts w:ascii="Arial" w:eastAsia="MS Mincho" w:hAnsi="Arial" w:cs="Arial"/>
        <w:b/>
      </w:rPr>
    </w:pPr>
    <w:r w:rsidRPr="00FC2E5E">
      <w:rPr>
        <w:rFonts w:ascii="Arial" w:eastAsia="MS Mincho" w:hAnsi="Arial" w:cs="Arial"/>
        <w:b/>
        <w:bCs/>
        <w:noProof/>
      </w:rPr>
      <w:t>C</w:t>
    </w:r>
    <w:r>
      <w:rPr>
        <w:rFonts w:ascii="Arial" w:eastAsia="MS Mincho" w:hAnsi="Arial" w:cs="Arial"/>
        <w:b/>
        <w:bCs/>
        <w:noProof/>
      </w:rPr>
      <w:t>omisionada ponente:</w:t>
    </w:r>
    <w:r w:rsidRPr="00FC2E5E">
      <w:rPr>
        <w:rFonts w:ascii="Arial" w:eastAsia="MS Mincho" w:hAnsi="Arial" w:cs="Arial"/>
        <w:b/>
        <w:bCs/>
        <w:noProof/>
      </w:rPr>
      <w:t xml:space="preserve"> </w:t>
    </w:r>
  </w:p>
  <w:p w14:paraId="206CA1F7" w14:textId="77777777" w:rsidR="0098699A" w:rsidRDefault="00D342AB" w:rsidP="0098699A">
    <w:pPr>
      <w:spacing w:before="120"/>
      <w:ind w:left="4395"/>
      <w:rPr>
        <w:rFonts w:ascii="Arial" w:eastAsia="MS Mincho" w:hAnsi="Arial" w:cs="Arial"/>
        <w:b/>
      </w:rPr>
    </w:pPr>
    <w:r>
      <w:rPr>
        <w:rFonts w:ascii="Arial" w:eastAsia="Calibri" w:hAnsi="Arial" w:cs="Arial"/>
        <w:sz w:val="26"/>
        <w:szCs w:val="26"/>
      </w:rPr>
      <w:t>María del Carmen Nava Polina</w:t>
    </w:r>
  </w:p>
  <w:p w14:paraId="028E5268" w14:textId="5821B3E7" w:rsidR="0098699A" w:rsidRPr="00933D06" w:rsidRDefault="00D342AB" w:rsidP="0098699A">
    <w:pPr>
      <w:spacing w:before="120"/>
      <w:ind w:left="4395"/>
      <w:jc w:val="both"/>
      <w:rPr>
        <w:rFonts w:ascii="Arial" w:hAnsi="Arial" w:cs="Arial"/>
        <w:bCs/>
      </w:rPr>
    </w:pPr>
    <w:r w:rsidRPr="00933D06">
      <w:rPr>
        <w:rFonts w:ascii="Arial" w:eastAsia="MS Mincho" w:hAnsi="Arial" w:cs="Arial"/>
        <w:b/>
      </w:rPr>
      <w:t>Sujeto obligado</w:t>
    </w:r>
    <w:r w:rsidRPr="00933D06">
      <w:rPr>
        <w:rFonts w:ascii="Arial" w:hAnsi="Arial" w:cs="Arial"/>
        <w:b/>
      </w:rPr>
      <w:t xml:space="preserve">: </w:t>
    </w:r>
    <w:r w:rsidR="0097428C">
      <w:rPr>
        <w:rFonts w:ascii="Arial" w:hAnsi="Arial" w:cs="Arial"/>
        <w:color w:val="000000"/>
      </w:rPr>
      <w:t>Secretaría de Obras y Servicios</w:t>
    </w:r>
  </w:p>
  <w:p w14:paraId="28FC12CF" w14:textId="339823F8" w:rsidR="0098699A" w:rsidRDefault="00D342AB" w:rsidP="0098699A">
    <w:pPr>
      <w:spacing w:before="120"/>
      <w:ind w:left="4395"/>
      <w:rPr>
        <w:rFonts w:ascii="Arial" w:eastAsia="MS Mincho" w:hAnsi="Arial" w:cs="Arial"/>
      </w:rPr>
    </w:pPr>
    <w:r w:rsidRPr="00933D06">
      <w:rPr>
        <w:rFonts w:ascii="Arial" w:eastAsia="MS Mincho" w:hAnsi="Arial" w:cs="Arial"/>
        <w:b/>
      </w:rPr>
      <w:t xml:space="preserve">Expediente: </w:t>
    </w:r>
    <w:r w:rsidRPr="00933D06">
      <w:rPr>
        <w:rFonts w:ascii="Arial" w:eastAsia="MS Mincho" w:hAnsi="Arial" w:cs="Arial"/>
        <w:bCs/>
      </w:rPr>
      <w:t>INFOCDMX/RR.IP.</w:t>
    </w:r>
    <w:r>
      <w:rPr>
        <w:rFonts w:ascii="Arial" w:eastAsia="MS Mincho" w:hAnsi="Arial" w:cs="Arial"/>
        <w:bCs/>
      </w:rPr>
      <w:t>2</w:t>
    </w:r>
    <w:r w:rsidR="0097428C">
      <w:rPr>
        <w:rFonts w:ascii="Arial" w:eastAsia="MS Mincho" w:hAnsi="Arial" w:cs="Arial"/>
        <w:bCs/>
      </w:rPr>
      <w:t>168</w:t>
    </w:r>
    <w:r w:rsidRPr="00D678C6">
      <w:rPr>
        <w:rFonts w:ascii="Arial" w:eastAsia="MS Mincho" w:hAnsi="Arial" w:cs="Arial"/>
        <w:bCs/>
      </w:rPr>
      <w:t>/202</w:t>
    </w:r>
    <w:r>
      <w:rPr>
        <w:rFonts w:ascii="Arial" w:eastAsia="MS Mincho" w:hAnsi="Arial" w:cs="Arial"/>
        <w:bCs/>
      </w:rPr>
      <w:t>1</w:t>
    </w:r>
  </w:p>
  <w:p w14:paraId="696A5D6D" w14:textId="77777777" w:rsidR="00B57359" w:rsidRPr="00226DCE" w:rsidRDefault="00D84010" w:rsidP="00B57359">
    <w:pPr>
      <w:pStyle w:val="Encabezado"/>
      <w:tabs>
        <w:tab w:val="clear" w:pos="4252"/>
        <w:tab w:val="clear" w:pos="8504"/>
        <w:tab w:val="left" w:pos="7236"/>
      </w:tabs>
      <w:ind w:left="453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DDEC" w14:textId="77777777" w:rsidR="00B57359" w:rsidRDefault="00D342AB" w:rsidP="00B57359">
    <w:pPr>
      <w:spacing w:before="120"/>
      <w:ind w:left="4395"/>
      <w:rPr>
        <w:rFonts w:ascii="Arial" w:eastAsia="MS Mincho" w:hAnsi="Arial" w:cs="Arial"/>
        <w:b/>
      </w:rPr>
    </w:pPr>
    <w:r w:rsidRPr="00330B39">
      <w:rPr>
        <w:noProof/>
      </w:rPr>
      <w:drawing>
        <wp:anchor distT="0" distB="0" distL="114300" distR="114300" simplePos="0" relativeHeight="251660288" behindDoc="1" locked="0" layoutInCell="1" allowOverlap="1" wp14:anchorId="2B088D4E" wp14:editId="0221A4D5">
          <wp:simplePos x="0" y="0"/>
          <wp:positionH relativeFrom="column">
            <wp:posOffset>-250190</wp:posOffset>
          </wp:positionH>
          <wp:positionV relativeFrom="paragraph">
            <wp:posOffset>-83820</wp:posOffset>
          </wp:positionV>
          <wp:extent cx="1527175" cy="619748"/>
          <wp:effectExtent l="0" t="0" r="0" b="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INFO.png"/>
                  <pic:cNvPicPr/>
                </pic:nvPicPr>
                <pic:blipFill rotWithShape="1">
                  <a:blip r:embed="rId1">
                    <a:extLst>
                      <a:ext uri="{28A0092B-C50C-407E-A947-70E740481C1C}">
                        <a14:useLocalDpi xmlns:a14="http://schemas.microsoft.com/office/drawing/2010/main" val="0"/>
                      </a:ext>
                    </a:extLst>
                  </a:blip>
                  <a:srcRect r="77165"/>
                  <a:stretch/>
                </pic:blipFill>
                <pic:spPr bwMode="auto">
                  <a:xfrm>
                    <a:off x="0" y="0"/>
                    <a:ext cx="1529763" cy="62079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Arial" w:eastAsia="MS Mincho" w:hAnsi="Arial" w:cs="Arial"/>
        <w:b/>
      </w:rPr>
      <w:t>Recurso de revisión en materia de derecho de acceso a información pública</w:t>
    </w:r>
  </w:p>
  <w:p w14:paraId="25C64F0C" w14:textId="77777777" w:rsidR="00B57359" w:rsidRPr="00B37E9C" w:rsidRDefault="00D342AB" w:rsidP="00B57359">
    <w:pPr>
      <w:spacing w:before="120"/>
      <w:ind w:left="4395"/>
      <w:rPr>
        <w:rFonts w:ascii="Arial" w:eastAsia="MS Mincho" w:hAnsi="Arial" w:cs="Arial"/>
        <w:b/>
      </w:rPr>
    </w:pPr>
    <w:r w:rsidRPr="00FC2E5E">
      <w:rPr>
        <w:rFonts w:ascii="Arial" w:eastAsia="MS Mincho" w:hAnsi="Arial" w:cs="Arial"/>
        <w:b/>
        <w:bCs/>
        <w:noProof/>
      </w:rPr>
      <w:t>C</w:t>
    </w:r>
    <w:r>
      <w:rPr>
        <w:rFonts w:ascii="Arial" w:eastAsia="MS Mincho" w:hAnsi="Arial" w:cs="Arial"/>
        <w:b/>
        <w:bCs/>
        <w:noProof/>
      </w:rPr>
      <w:t>omisionada ponente:</w:t>
    </w:r>
    <w:r w:rsidRPr="00FC2E5E">
      <w:rPr>
        <w:rFonts w:ascii="Arial" w:eastAsia="MS Mincho" w:hAnsi="Arial" w:cs="Arial"/>
        <w:b/>
        <w:bCs/>
        <w:noProof/>
      </w:rPr>
      <w:t xml:space="preserve"> </w:t>
    </w:r>
  </w:p>
  <w:p w14:paraId="43D34E8F" w14:textId="77777777" w:rsidR="00B57359" w:rsidRDefault="00D342AB" w:rsidP="00B57359">
    <w:pPr>
      <w:spacing w:before="120"/>
      <w:ind w:left="4395"/>
      <w:rPr>
        <w:rFonts w:ascii="Arial" w:eastAsia="MS Mincho" w:hAnsi="Arial" w:cs="Arial"/>
        <w:b/>
      </w:rPr>
    </w:pPr>
    <w:r>
      <w:rPr>
        <w:rFonts w:ascii="Arial" w:eastAsia="Calibri" w:hAnsi="Arial" w:cs="Arial"/>
        <w:sz w:val="26"/>
        <w:szCs w:val="26"/>
      </w:rPr>
      <w:t>María del Carmen Nava Polina</w:t>
    </w:r>
  </w:p>
  <w:p w14:paraId="1C799D91" w14:textId="41455CE0" w:rsidR="00B57359" w:rsidRPr="00933D06" w:rsidRDefault="00D342AB" w:rsidP="0098699A">
    <w:pPr>
      <w:spacing w:before="120"/>
      <w:ind w:left="4395"/>
      <w:jc w:val="both"/>
      <w:rPr>
        <w:rFonts w:ascii="Arial" w:hAnsi="Arial" w:cs="Arial"/>
        <w:bCs/>
      </w:rPr>
    </w:pPr>
    <w:r w:rsidRPr="00933D06">
      <w:rPr>
        <w:rFonts w:ascii="Arial" w:eastAsia="MS Mincho" w:hAnsi="Arial" w:cs="Arial"/>
        <w:b/>
      </w:rPr>
      <w:t>Sujeto obligado</w:t>
    </w:r>
    <w:r w:rsidRPr="00933D06">
      <w:rPr>
        <w:rFonts w:ascii="Arial" w:hAnsi="Arial" w:cs="Arial"/>
        <w:b/>
      </w:rPr>
      <w:t xml:space="preserve">: </w:t>
    </w:r>
    <w:r w:rsidR="00637D9C">
      <w:rPr>
        <w:rFonts w:ascii="Arial" w:hAnsi="Arial" w:cs="Arial"/>
        <w:color w:val="000000"/>
      </w:rPr>
      <w:t>Secretaría de Obras y Servicios</w:t>
    </w:r>
  </w:p>
  <w:p w14:paraId="009E8072" w14:textId="7594C0B6" w:rsidR="00B57359" w:rsidRDefault="00D342AB" w:rsidP="00B57359">
    <w:pPr>
      <w:spacing w:before="120"/>
      <w:ind w:left="4395"/>
      <w:rPr>
        <w:rFonts w:ascii="Arial" w:eastAsia="MS Mincho" w:hAnsi="Arial" w:cs="Arial"/>
      </w:rPr>
    </w:pPr>
    <w:r w:rsidRPr="00933D06">
      <w:rPr>
        <w:rFonts w:ascii="Arial" w:eastAsia="MS Mincho" w:hAnsi="Arial" w:cs="Arial"/>
        <w:b/>
      </w:rPr>
      <w:t xml:space="preserve">Expediente: </w:t>
    </w:r>
    <w:r w:rsidRPr="00933D06">
      <w:rPr>
        <w:rFonts w:ascii="Arial" w:eastAsia="MS Mincho" w:hAnsi="Arial" w:cs="Arial"/>
        <w:bCs/>
      </w:rPr>
      <w:t>INFOCDMX/RR.IP.</w:t>
    </w:r>
    <w:r>
      <w:rPr>
        <w:rFonts w:ascii="Arial" w:eastAsia="MS Mincho" w:hAnsi="Arial" w:cs="Arial"/>
        <w:bCs/>
      </w:rPr>
      <w:t>2</w:t>
    </w:r>
    <w:r w:rsidR="00637D9C">
      <w:rPr>
        <w:rFonts w:ascii="Arial" w:eastAsia="MS Mincho" w:hAnsi="Arial" w:cs="Arial"/>
        <w:bCs/>
      </w:rPr>
      <w:t>168</w:t>
    </w:r>
    <w:r w:rsidRPr="00D678C6">
      <w:rPr>
        <w:rFonts w:ascii="Arial" w:eastAsia="MS Mincho" w:hAnsi="Arial" w:cs="Arial"/>
        <w:bCs/>
      </w:rPr>
      <w:t>/202</w:t>
    </w:r>
    <w:r>
      <w:rPr>
        <w:rFonts w:ascii="Arial" w:eastAsia="MS Mincho" w:hAnsi="Arial" w:cs="Arial"/>
        <w:bCs/>
      </w:rPr>
      <w:t>1</w:t>
    </w:r>
  </w:p>
  <w:p w14:paraId="5BB254CD" w14:textId="77777777" w:rsidR="00B57359" w:rsidRPr="00B37E9C" w:rsidRDefault="00D84010" w:rsidP="00B57359">
    <w:pPr>
      <w:spacing w:before="120"/>
      <w:ind w:left="4536"/>
      <w:rPr>
        <w:rFonts w:ascii="Arial" w:eastAsia="MS Mincho"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8C0AE3"/>
    <w:multiLevelType w:val="hybridMultilevel"/>
    <w:tmpl w:val="BC6AC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7E0220"/>
    <w:multiLevelType w:val="hybridMultilevel"/>
    <w:tmpl w:val="63A67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0B0701"/>
    <w:multiLevelType w:val="hybridMultilevel"/>
    <w:tmpl w:val="D0389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141A3C"/>
    <w:multiLevelType w:val="hybridMultilevel"/>
    <w:tmpl w:val="6EECC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BB92EEE"/>
    <w:multiLevelType w:val="hybridMultilevel"/>
    <w:tmpl w:val="5C7EC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28C"/>
    <w:rsid w:val="000213CF"/>
    <w:rsid w:val="000374CF"/>
    <w:rsid w:val="000B3566"/>
    <w:rsid w:val="000C339F"/>
    <w:rsid w:val="000C65A7"/>
    <w:rsid w:val="000E3257"/>
    <w:rsid w:val="00113EA4"/>
    <w:rsid w:val="0011619B"/>
    <w:rsid w:val="0012041A"/>
    <w:rsid w:val="001B4D19"/>
    <w:rsid w:val="001C3DBB"/>
    <w:rsid w:val="0020350D"/>
    <w:rsid w:val="00286A82"/>
    <w:rsid w:val="002E20EF"/>
    <w:rsid w:val="002E22C4"/>
    <w:rsid w:val="002E651F"/>
    <w:rsid w:val="003020C8"/>
    <w:rsid w:val="003156B5"/>
    <w:rsid w:val="00354DFC"/>
    <w:rsid w:val="003A4897"/>
    <w:rsid w:val="003B6BCD"/>
    <w:rsid w:val="004517DF"/>
    <w:rsid w:val="00467215"/>
    <w:rsid w:val="004A084F"/>
    <w:rsid w:val="004F22AE"/>
    <w:rsid w:val="005063A7"/>
    <w:rsid w:val="00562F7B"/>
    <w:rsid w:val="0059269D"/>
    <w:rsid w:val="005B1756"/>
    <w:rsid w:val="005D2171"/>
    <w:rsid w:val="006016D6"/>
    <w:rsid w:val="00627112"/>
    <w:rsid w:val="00630FEA"/>
    <w:rsid w:val="00636838"/>
    <w:rsid w:val="00637D9C"/>
    <w:rsid w:val="00735400"/>
    <w:rsid w:val="0074237F"/>
    <w:rsid w:val="00751D11"/>
    <w:rsid w:val="007741C6"/>
    <w:rsid w:val="007C675A"/>
    <w:rsid w:val="007E749A"/>
    <w:rsid w:val="00836684"/>
    <w:rsid w:val="00867F09"/>
    <w:rsid w:val="00875935"/>
    <w:rsid w:val="00896224"/>
    <w:rsid w:val="008E27FA"/>
    <w:rsid w:val="008E3496"/>
    <w:rsid w:val="0090739C"/>
    <w:rsid w:val="00920C57"/>
    <w:rsid w:val="009430E4"/>
    <w:rsid w:val="0097428C"/>
    <w:rsid w:val="009A099B"/>
    <w:rsid w:val="009F206E"/>
    <w:rsid w:val="00A318FA"/>
    <w:rsid w:val="00A40531"/>
    <w:rsid w:val="00AA739C"/>
    <w:rsid w:val="00AD57E4"/>
    <w:rsid w:val="00B629D7"/>
    <w:rsid w:val="00B95ECD"/>
    <w:rsid w:val="00BB36AD"/>
    <w:rsid w:val="00BE1727"/>
    <w:rsid w:val="00BE79B2"/>
    <w:rsid w:val="00CA18A1"/>
    <w:rsid w:val="00CA721F"/>
    <w:rsid w:val="00CA776D"/>
    <w:rsid w:val="00CB58E4"/>
    <w:rsid w:val="00CC7E6B"/>
    <w:rsid w:val="00CD03A9"/>
    <w:rsid w:val="00D04288"/>
    <w:rsid w:val="00D12487"/>
    <w:rsid w:val="00D24F2D"/>
    <w:rsid w:val="00D342AB"/>
    <w:rsid w:val="00D84010"/>
    <w:rsid w:val="00DE267B"/>
    <w:rsid w:val="00DF357C"/>
    <w:rsid w:val="00E71528"/>
    <w:rsid w:val="00EB06E2"/>
    <w:rsid w:val="00F110D8"/>
    <w:rsid w:val="00FB5FF3"/>
    <w:rsid w:val="00FE7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10805"/>
  <w15:chartTrackingRefBased/>
  <w15:docId w15:val="{193C09C8-3E20-E547-A180-84FD1415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50D"/>
    <w:rPr>
      <w:rFonts w:ascii="Times New Roman" w:eastAsia="Times New Roman" w:hAnsi="Times New Roman"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742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97428C"/>
    <w:rPr>
      <w:rFonts w:eastAsiaTheme="minorEastAsia"/>
      <w:lang w:val="es-ES_tradnl" w:eastAsia="es-ES"/>
    </w:rPr>
  </w:style>
  <w:style w:type="paragraph" w:styleId="Piedepgina">
    <w:name w:val="footer"/>
    <w:basedOn w:val="Normal"/>
    <w:link w:val="PiedepginaCar"/>
    <w:uiPriority w:val="99"/>
    <w:unhideWhenUsed/>
    <w:rsid w:val="009742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97428C"/>
    <w:rPr>
      <w:rFonts w:eastAsiaTheme="minorEastAsia"/>
      <w:lang w:val="es-ES_tradnl" w:eastAsia="es-E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97428C"/>
    <w:rPr>
      <w:rFonts w:eastAsia="Calibri"/>
      <w:sz w:val="20"/>
      <w:szCs w:val="20"/>
      <w:lang w:val="es-ES_tradnl"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97428C"/>
    <w:rPr>
      <w:rFonts w:ascii="Times New Roman" w:eastAsia="Calibri" w:hAnsi="Times New Roman" w:cs="Times New Roman"/>
      <w:sz w:val="20"/>
      <w:szCs w:val="20"/>
      <w:lang w:val="es-ES_tradnl"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link w:val="4GChar"/>
    <w:uiPriority w:val="99"/>
    <w:unhideWhenUsed/>
    <w:qFormat/>
    <w:rsid w:val="0097428C"/>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7428C"/>
    <w:pPr>
      <w:jc w:val="both"/>
    </w:pPr>
    <w:rPr>
      <w:rFonts w:asciiTheme="minorHAnsi" w:eastAsiaTheme="minorHAnsi" w:hAnsiTheme="minorHAnsi" w:cstheme="minorBidi"/>
      <w:vertAlign w:val="superscript"/>
      <w:lang w:eastAsia="en-US"/>
    </w:rPr>
  </w:style>
  <w:style w:type="paragraph" w:styleId="Prrafodelista">
    <w:name w:val="List Paragraph"/>
    <w:aliases w:val="CNBV Parrafo1,Párrafo de lista1,Cita texto,Parrafo 1,Lista multicolor - Énfasis 11,Lista vistosa - Énfasis 11,Cuadrícula media 1 - Énfasis 21,lp1,List Paragraph1,Dot pt,Colorful List - Accent 11,No Spacing1,List Paragraph Char Char Char"/>
    <w:basedOn w:val="Normal"/>
    <w:link w:val="PrrafodelistaCar"/>
    <w:uiPriority w:val="34"/>
    <w:qFormat/>
    <w:rsid w:val="0097428C"/>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p1 Car,List Paragraph1 Car,Dot pt Car,No Spacing1 Car"/>
    <w:link w:val="Prrafodelista"/>
    <w:uiPriority w:val="34"/>
    <w:qFormat/>
    <w:locked/>
    <w:rsid w:val="0097428C"/>
    <w:rPr>
      <w:rFonts w:eastAsiaTheme="minorEastAsia"/>
      <w:lang w:val="es-ES_tradnl" w:eastAsia="es-ES"/>
    </w:rPr>
  </w:style>
  <w:style w:type="paragraph" w:styleId="NormalWeb">
    <w:name w:val="Normal (Web)"/>
    <w:aliases w:val="Normal (Web) Car,Normal (Web) Car1 Car Car,Normal (Web) Car Car Car Car Car Car Car Car Car Car,Normal (Web) Car Car Car Car Car Car,Car Car Car,Car Car Car Car Car,Car,Car Car, Car Car Car, Car Car Car Car Car, Car Car Car Car, Car Car Ca"/>
    <w:basedOn w:val="Normal"/>
    <w:link w:val="NormalWebCar1"/>
    <w:uiPriority w:val="99"/>
    <w:unhideWhenUsed/>
    <w:qFormat/>
    <w:rsid w:val="0097428C"/>
    <w:pPr>
      <w:spacing w:before="100" w:beforeAutospacing="1" w:after="100" w:afterAutospacing="1"/>
    </w:pPr>
  </w:style>
  <w:style w:type="character" w:styleId="Hipervnculo">
    <w:name w:val="Hyperlink"/>
    <w:basedOn w:val="Fuentedeprrafopredeter"/>
    <w:uiPriority w:val="99"/>
    <w:unhideWhenUsed/>
    <w:rsid w:val="0097428C"/>
    <w:rPr>
      <w:color w:val="0563C1" w:themeColor="hyperlink"/>
      <w:u w:val="single"/>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 Car Car Car Car1"/>
    <w:link w:val="NormalWeb"/>
    <w:uiPriority w:val="99"/>
    <w:rsid w:val="0097428C"/>
    <w:rPr>
      <w:rFonts w:ascii="Times New Roman" w:eastAsia="Times New Roman" w:hAnsi="Times New Roman" w:cs="Times New Roman"/>
      <w:lang w:eastAsia="es-MX"/>
    </w:rPr>
  </w:style>
  <w:style w:type="paragraph" w:customStyle="1" w:styleId="paragraph">
    <w:name w:val="paragraph"/>
    <w:basedOn w:val="Normal"/>
    <w:rsid w:val="0097428C"/>
    <w:pPr>
      <w:spacing w:before="100" w:beforeAutospacing="1" w:after="100" w:afterAutospacing="1"/>
    </w:pPr>
  </w:style>
  <w:style w:type="character" w:customStyle="1" w:styleId="normaltextrun">
    <w:name w:val="normaltextrun"/>
    <w:basedOn w:val="Fuentedeprrafopredeter"/>
    <w:rsid w:val="00974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69254">
      <w:bodyDiv w:val="1"/>
      <w:marLeft w:val="0"/>
      <w:marRight w:val="0"/>
      <w:marTop w:val="0"/>
      <w:marBottom w:val="0"/>
      <w:divBdr>
        <w:top w:val="none" w:sz="0" w:space="0" w:color="auto"/>
        <w:left w:val="none" w:sz="0" w:space="0" w:color="auto"/>
        <w:bottom w:val="none" w:sz="0" w:space="0" w:color="auto"/>
        <w:right w:val="none" w:sz="0" w:space="0" w:color="auto"/>
      </w:divBdr>
      <w:divsChild>
        <w:div w:id="471291397">
          <w:marLeft w:val="0"/>
          <w:marRight w:val="0"/>
          <w:marTop w:val="0"/>
          <w:marBottom w:val="0"/>
          <w:divBdr>
            <w:top w:val="none" w:sz="0" w:space="0" w:color="auto"/>
            <w:left w:val="none" w:sz="0" w:space="0" w:color="auto"/>
            <w:bottom w:val="none" w:sz="0" w:space="0" w:color="auto"/>
            <w:right w:val="none" w:sz="0" w:space="0" w:color="auto"/>
          </w:divBdr>
          <w:divsChild>
            <w:div w:id="935360724">
              <w:marLeft w:val="0"/>
              <w:marRight w:val="0"/>
              <w:marTop w:val="0"/>
              <w:marBottom w:val="0"/>
              <w:divBdr>
                <w:top w:val="none" w:sz="0" w:space="0" w:color="auto"/>
                <w:left w:val="none" w:sz="0" w:space="0" w:color="auto"/>
                <w:bottom w:val="none" w:sz="0" w:space="0" w:color="auto"/>
                <w:right w:val="none" w:sz="0" w:space="0" w:color="auto"/>
              </w:divBdr>
              <w:divsChild>
                <w:div w:id="81738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37787">
      <w:bodyDiv w:val="1"/>
      <w:marLeft w:val="0"/>
      <w:marRight w:val="0"/>
      <w:marTop w:val="0"/>
      <w:marBottom w:val="0"/>
      <w:divBdr>
        <w:top w:val="none" w:sz="0" w:space="0" w:color="auto"/>
        <w:left w:val="none" w:sz="0" w:space="0" w:color="auto"/>
        <w:bottom w:val="none" w:sz="0" w:space="0" w:color="auto"/>
        <w:right w:val="none" w:sz="0" w:space="0" w:color="auto"/>
      </w:divBdr>
    </w:div>
    <w:div w:id="464739434">
      <w:bodyDiv w:val="1"/>
      <w:marLeft w:val="0"/>
      <w:marRight w:val="0"/>
      <w:marTop w:val="0"/>
      <w:marBottom w:val="0"/>
      <w:divBdr>
        <w:top w:val="none" w:sz="0" w:space="0" w:color="auto"/>
        <w:left w:val="none" w:sz="0" w:space="0" w:color="auto"/>
        <w:bottom w:val="none" w:sz="0" w:space="0" w:color="auto"/>
        <w:right w:val="none" w:sz="0" w:space="0" w:color="auto"/>
      </w:divBdr>
    </w:div>
    <w:div w:id="620654283">
      <w:bodyDiv w:val="1"/>
      <w:marLeft w:val="0"/>
      <w:marRight w:val="0"/>
      <w:marTop w:val="0"/>
      <w:marBottom w:val="0"/>
      <w:divBdr>
        <w:top w:val="none" w:sz="0" w:space="0" w:color="auto"/>
        <w:left w:val="none" w:sz="0" w:space="0" w:color="auto"/>
        <w:bottom w:val="none" w:sz="0" w:space="0" w:color="auto"/>
        <w:right w:val="none" w:sz="0" w:space="0" w:color="auto"/>
      </w:divBdr>
    </w:div>
    <w:div w:id="699665873">
      <w:bodyDiv w:val="1"/>
      <w:marLeft w:val="0"/>
      <w:marRight w:val="0"/>
      <w:marTop w:val="0"/>
      <w:marBottom w:val="0"/>
      <w:divBdr>
        <w:top w:val="none" w:sz="0" w:space="0" w:color="auto"/>
        <w:left w:val="none" w:sz="0" w:space="0" w:color="auto"/>
        <w:bottom w:val="none" w:sz="0" w:space="0" w:color="auto"/>
        <w:right w:val="none" w:sz="0" w:space="0" w:color="auto"/>
      </w:divBdr>
    </w:div>
    <w:div w:id="707098943">
      <w:bodyDiv w:val="1"/>
      <w:marLeft w:val="0"/>
      <w:marRight w:val="0"/>
      <w:marTop w:val="0"/>
      <w:marBottom w:val="0"/>
      <w:divBdr>
        <w:top w:val="none" w:sz="0" w:space="0" w:color="auto"/>
        <w:left w:val="none" w:sz="0" w:space="0" w:color="auto"/>
        <w:bottom w:val="none" w:sz="0" w:space="0" w:color="auto"/>
        <w:right w:val="none" w:sz="0" w:space="0" w:color="auto"/>
      </w:divBdr>
    </w:div>
    <w:div w:id="1147437007">
      <w:bodyDiv w:val="1"/>
      <w:marLeft w:val="0"/>
      <w:marRight w:val="0"/>
      <w:marTop w:val="0"/>
      <w:marBottom w:val="0"/>
      <w:divBdr>
        <w:top w:val="none" w:sz="0" w:space="0" w:color="auto"/>
        <w:left w:val="none" w:sz="0" w:space="0" w:color="auto"/>
        <w:bottom w:val="none" w:sz="0" w:space="0" w:color="auto"/>
        <w:right w:val="none" w:sz="0" w:space="0" w:color="auto"/>
      </w:divBdr>
    </w:div>
    <w:div w:id="1341810949">
      <w:bodyDiv w:val="1"/>
      <w:marLeft w:val="0"/>
      <w:marRight w:val="0"/>
      <w:marTop w:val="0"/>
      <w:marBottom w:val="0"/>
      <w:divBdr>
        <w:top w:val="none" w:sz="0" w:space="0" w:color="auto"/>
        <w:left w:val="none" w:sz="0" w:space="0" w:color="auto"/>
        <w:bottom w:val="none" w:sz="0" w:space="0" w:color="auto"/>
        <w:right w:val="none" w:sz="0" w:space="0" w:color="auto"/>
      </w:divBdr>
      <w:divsChild>
        <w:div w:id="1717655240">
          <w:marLeft w:val="0"/>
          <w:marRight w:val="0"/>
          <w:marTop w:val="0"/>
          <w:marBottom w:val="0"/>
          <w:divBdr>
            <w:top w:val="none" w:sz="0" w:space="0" w:color="auto"/>
            <w:left w:val="none" w:sz="0" w:space="0" w:color="auto"/>
            <w:bottom w:val="none" w:sz="0" w:space="0" w:color="auto"/>
            <w:right w:val="none" w:sz="0" w:space="0" w:color="auto"/>
          </w:divBdr>
          <w:divsChild>
            <w:div w:id="514423529">
              <w:marLeft w:val="0"/>
              <w:marRight w:val="0"/>
              <w:marTop w:val="0"/>
              <w:marBottom w:val="0"/>
              <w:divBdr>
                <w:top w:val="none" w:sz="0" w:space="0" w:color="auto"/>
                <w:left w:val="none" w:sz="0" w:space="0" w:color="auto"/>
                <w:bottom w:val="none" w:sz="0" w:space="0" w:color="auto"/>
                <w:right w:val="none" w:sz="0" w:space="0" w:color="auto"/>
              </w:divBdr>
              <w:divsChild>
                <w:div w:id="189106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82812">
      <w:bodyDiv w:val="1"/>
      <w:marLeft w:val="0"/>
      <w:marRight w:val="0"/>
      <w:marTop w:val="0"/>
      <w:marBottom w:val="0"/>
      <w:divBdr>
        <w:top w:val="none" w:sz="0" w:space="0" w:color="auto"/>
        <w:left w:val="none" w:sz="0" w:space="0" w:color="auto"/>
        <w:bottom w:val="none" w:sz="0" w:space="0" w:color="auto"/>
        <w:right w:val="none" w:sz="0" w:space="0" w:color="auto"/>
      </w:divBdr>
      <w:divsChild>
        <w:div w:id="755908311">
          <w:marLeft w:val="0"/>
          <w:marRight w:val="0"/>
          <w:marTop w:val="0"/>
          <w:marBottom w:val="0"/>
          <w:divBdr>
            <w:top w:val="none" w:sz="0" w:space="0" w:color="auto"/>
            <w:left w:val="none" w:sz="0" w:space="0" w:color="auto"/>
            <w:bottom w:val="none" w:sz="0" w:space="0" w:color="auto"/>
            <w:right w:val="none" w:sz="0" w:space="0" w:color="auto"/>
          </w:divBdr>
          <w:divsChild>
            <w:div w:id="554316568">
              <w:marLeft w:val="0"/>
              <w:marRight w:val="0"/>
              <w:marTop w:val="0"/>
              <w:marBottom w:val="0"/>
              <w:divBdr>
                <w:top w:val="none" w:sz="0" w:space="0" w:color="auto"/>
                <w:left w:val="none" w:sz="0" w:space="0" w:color="auto"/>
                <w:bottom w:val="none" w:sz="0" w:space="0" w:color="auto"/>
                <w:right w:val="none" w:sz="0" w:space="0" w:color="auto"/>
              </w:divBdr>
              <w:divsChild>
                <w:div w:id="9720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80138">
      <w:bodyDiv w:val="1"/>
      <w:marLeft w:val="0"/>
      <w:marRight w:val="0"/>
      <w:marTop w:val="0"/>
      <w:marBottom w:val="0"/>
      <w:divBdr>
        <w:top w:val="none" w:sz="0" w:space="0" w:color="auto"/>
        <w:left w:val="none" w:sz="0" w:space="0" w:color="auto"/>
        <w:bottom w:val="none" w:sz="0" w:space="0" w:color="auto"/>
        <w:right w:val="none" w:sz="0" w:space="0" w:color="auto"/>
      </w:divBdr>
      <w:divsChild>
        <w:div w:id="392897777">
          <w:marLeft w:val="0"/>
          <w:marRight w:val="0"/>
          <w:marTop w:val="0"/>
          <w:marBottom w:val="0"/>
          <w:divBdr>
            <w:top w:val="none" w:sz="0" w:space="0" w:color="auto"/>
            <w:left w:val="none" w:sz="0" w:space="0" w:color="auto"/>
            <w:bottom w:val="none" w:sz="0" w:space="0" w:color="auto"/>
            <w:right w:val="none" w:sz="0" w:space="0" w:color="auto"/>
          </w:divBdr>
          <w:divsChild>
            <w:div w:id="1192912350">
              <w:marLeft w:val="0"/>
              <w:marRight w:val="0"/>
              <w:marTop w:val="0"/>
              <w:marBottom w:val="0"/>
              <w:divBdr>
                <w:top w:val="none" w:sz="0" w:space="0" w:color="auto"/>
                <w:left w:val="none" w:sz="0" w:space="0" w:color="auto"/>
                <w:bottom w:val="none" w:sz="0" w:space="0" w:color="auto"/>
                <w:right w:val="none" w:sz="0" w:space="0" w:color="auto"/>
              </w:divBdr>
              <w:divsChild>
                <w:div w:id="13649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163860">
      <w:bodyDiv w:val="1"/>
      <w:marLeft w:val="0"/>
      <w:marRight w:val="0"/>
      <w:marTop w:val="0"/>
      <w:marBottom w:val="0"/>
      <w:divBdr>
        <w:top w:val="none" w:sz="0" w:space="0" w:color="auto"/>
        <w:left w:val="none" w:sz="0" w:space="0" w:color="auto"/>
        <w:bottom w:val="none" w:sz="0" w:space="0" w:color="auto"/>
        <w:right w:val="none" w:sz="0" w:space="0" w:color="auto"/>
      </w:divBdr>
      <w:divsChild>
        <w:div w:id="1729307112">
          <w:marLeft w:val="0"/>
          <w:marRight w:val="0"/>
          <w:marTop w:val="0"/>
          <w:marBottom w:val="0"/>
          <w:divBdr>
            <w:top w:val="none" w:sz="0" w:space="0" w:color="auto"/>
            <w:left w:val="none" w:sz="0" w:space="0" w:color="auto"/>
            <w:bottom w:val="none" w:sz="0" w:space="0" w:color="auto"/>
            <w:right w:val="none" w:sz="0" w:space="0" w:color="auto"/>
          </w:divBdr>
          <w:divsChild>
            <w:div w:id="783110629">
              <w:marLeft w:val="0"/>
              <w:marRight w:val="0"/>
              <w:marTop w:val="0"/>
              <w:marBottom w:val="0"/>
              <w:divBdr>
                <w:top w:val="none" w:sz="0" w:space="0" w:color="auto"/>
                <w:left w:val="none" w:sz="0" w:space="0" w:color="auto"/>
                <w:bottom w:val="none" w:sz="0" w:space="0" w:color="auto"/>
                <w:right w:val="none" w:sz="0" w:space="0" w:color="auto"/>
              </w:divBdr>
              <w:divsChild>
                <w:div w:id="2018380912">
                  <w:marLeft w:val="0"/>
                  <w:marRight w:val="0"/>
                  <w:marTop w:val="0"/>
                  <w:marBottom w:val="0"/>
                  <w:divBdr>
                    <w:top w:val="none" w:sz="0" w:space="0" w:color="auto"/>
                    <w:left w:val="none" w:sz="0" w:space="0" w:color="auto"/>
                    <w:bottom w:val="none" w:sz="0" w:space="0" w:color="auto"/>
                    <w:right w:val="none" w:sz="0" w:space="0" w:color="auto"/>
                  </w:divBdr>
                  <w:divsChild>
                    <w:div w:id="9710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19373">
      <w:bodyDiv w:val="1"/>
      <w:marLeft w:val="0"/>
      <w:marRight w:val="0"/>
      <w:marTop w:val="0"/>
      <w:marBottom w:val="0"/>
      <w:divBdr>
        <w:top w:val="none" w:sz="0" w:space="0" w:color="auto"/>
        <w:left w:val="none" w:sz="0" w:space="0" w:color="auto"/>
        <w:bottom w:val="none" w:sz="0" w:space="0" w:color="auto"/>
        <w:right w:val="none" w:sz="0" w:space="0" w:color="auto"/>
      </w:divBdr>
    </w:div>
    <w:div w:id="200685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bras.cdmx.gob.mx/secretaria/marco-normativo"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www.infodf.org.mx/index.php/acuerdos.html" TargetMode="External"/><Relationship Id="rId1" Type="http://schemas.openxmlformats.org/officeDocument/2006/relationships/hyperlink" Target="http://www.infodf.org.mx/index.php/acuerdo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2CEB71514A8E1418139EA1350743DE9" ma:contentTypeVersion="13" ma:contentTypeDescription="Crear nuevo documento." ma:contentTypeScope="" ma:versionID="1c9f856e758e0e83608bfb28111ebac8">
  <xsd:schema xmlns:xsd="http://www.w3.org/2001/XMLSchema" xmlns:xs="http://www.w3.org/2001/XMLSchema" xmlns:p="http://schemas.microsoft.com/office/2006/metadata/properties" xmlns:ns2="7a380d7f-3059-47a7-a8a6-4ef4184d0ae5" xmlns:ns3="52ae3fab-315d-443e-9524-ce387e921f62" targetNamespace="http://schemas.microsoft.com/office/2006/metadata/properties" ma:root="true" ma:fieldsID="57bcd22ea72c61238f49f8e8413d4f60" ns2:_="" ns3:_="">
    <xsd:import namespace="7a380d7f-3059-47a7-a8a6-4ef4184d0ae5"/>
    <xsd:import namespace="52ae3fab-315d-443e-9524-ce387e921f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Flow_SignoffStatu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80d7f-3059-47a7-a8a6-4ef4184d0ae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ae3fab-315d-443e-9524-ce387e921f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Estado de aprobación" ma:internalName="Estado_x0020_de_x0020_aprobaci_x00f3_n">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2ae3fab-315d-443e-9524-ce387e921f62" xsi:nil="true"/>
  </documentManagement>
</p:properties>
</file>

<file path=customXml/itemProps1.xml><?xml version="1.0" encoding="utf-8"?>
<ds:datastoreItem xmlns:ds="http://schemas.openxmlformats.org/officeDocument/2006/customXml" ds:itemID="{9E6CF652-E609-46F4-B8A9-8FFF1F99DFF7}"/>
</file>

<file path=customXml/itemProps2.xml><?xml version="1.0" encoding="utf-8"?>
<ds:datastoreItem xmlns:ds="http://schemas.openxmlformats.org/officeDocument/2006/customXml" ds:itemID="{BF9D6FCD-78EA-460F-9B29-24DEA86D5D0F}"/>
</file>

<file path=customXml/itemProps3.xml><?xml version="1.0" encoding="utf-8"?>
<ds:datastoreItem xmlns:ds="http://schemas.openxmlformats.org/officeDocument/2006/customXml" ds:itemID="{9661D876-AC64-4F89-AFF4-749F07B05BF5}"/>
</file>

<file path=docProps/app.xml><?xml version="1.0" encoding="utf-8"?>
<Properties xmlns="http://schemas.openxmlformats.org/officeDocument/2006/extended-properties" xmlns:vt="http://schemas.openxmlformats.org/officeDocument/2006/docPropsVTypes">
  <Template>Normal.dotm</Template>
  <TotalTime>176</TotalTime>
  <Pages>32</Pages>
  <Words>6244</Words>
  <Characters>34342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Geovanni Cabanilas Martinez</dc:creator>
  <cp:keywords/>
  <dc:description/>
  <cp:lastModifiedBy>Christian Geovanni Cabanilas Martinez</cp:lastModifiedBy>
  <cp:revision>333</cp:revision>
  <dcterms:created xsi:type="dcterms:W3CDTF">2022-01-07T17:13:00Z</dcterms:created>
  <dcterms:modified xsi:type="dcterms:W3CDTF">2022-01-07T23:59:00Z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0x01010052CEB71514A8E1418139EA1350743DE9</vt:lpwstr>
  </property>
</Properties>
</file>